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Odyssey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Anna Bitton</w:t>
              <w:br/>
              <w:t>Dimension Management, L.P., 632 Broadway, Suite 801</w:t>
              <w:br/>
              <w:t>New York, NY, 10012</w:t>
              <w:br/>
              <w:t>(917) 450-1156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Dimension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Dimension Capital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Dimension Capital II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Dimension Management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Adam Goulburn</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Zavain Dar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Nan Li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3,333,516.00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3,333,516.00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3,333,516.00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w:t>
            </w:r>
          </w:p>
        </w:tc>
        <w:tc>
          <w:tcPr>
            <w:tcW w:w="9035" w:type="dxa"/>
            <w:tcBorders/>
            <w:vAlign w:val="center"/>
          </w:tcPr>
          <w:p>
            <w:pPr>
              <w:pStyle w:val="TableContents"/>
              <w:bidi w:val="0"/>
              <w:spacing w:before="0" w:after="283"/>
              <w:jc w:val="left"/>
              <w:rPr/>
            </w:pPr>
            <w:r>
              <w:rPr/>
              <w:t>Security and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jc w:val="left"/>
              <w:rPr/>
            </w:pPr>
            <w:r>
              <w:rPr/>
              <w:t xml:space="preserve">Name of Issuer: </w:t>
            </w:r>
          </w:p>
          <w:p>
            <w:pPr>
              <w:pStyle w:val="TableContents"/>
              <w:bidi w:val="0"/>
              <w:spacing w:before="0" w:after="0"/>
              <w:jc w:val="left"/>
              <w:rPr/>
            </w:pPr>
            <w:r>
              <w:rPr/>
              <w:t>Odyssey Therapeutics, Inc.</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Sleeper Street, Boston, MASSACHUSETTS , 02210.</w:t>
            </w:r>
          </w:p>
        </w:tc>
      </w:tr>
      <w:tr>
        <w:trPr/>
        <w:tc>
          <w:tcPr>
            <w:tcW w:w="1170" w:type="dxa"/>
            <w:tcBorders/>
            <w:vAlign w:val="center"/>
          </w:tcPr>
          <w:p>
            <w:pPr>
              <w:pStyle w:val="TableContents"/>
              <w:bidi w:val="0"/>
              <w:spacing w:before="0" w:after="283"/>
              <w:jc w:val="left"/>
              <w:rPr/>
            </w:pPr>
            <w:r>
              <w:rPr/>
              <w:t>Item 2.</w:t>
            </w:r>
          </w:p>
        </w:tc>
        <w:tc>
          <w:tcPr>
            <w:tcW w:w="9035" w:type="dxa"/>
            <w:tcBorders/>
            <w:vAlign w:val="center"/>
          </w:tcPr>
          <w:p>
            <w:pPr>
              <w:pStyle w:val="TableContents"/>
              <w:bidi w:val="0"/>
              <w:spacing w:before="0" w:after="283"/>
              <w:jc w:val="left"/>
              <w:rPr/>
            </w:pPr>
            <w:r>
              <w:rPr/>
              <w:t>Identity and Background</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spacing w:before="0" w:after="0"/>
              <w:jc w:val="left"/>
              <w:rPr/>
            </w:pPr>
            <w:r>
              <w:rPr/>
              <w:t>The names of the persons filing this report (collectively, the "Reporting Persons") with respect to shares of Common Stock, par value $0.0001 per share (the "Common Stock") of Odyssey Therapeutics, Inc. (the "Issuer") are: Dimension Management, L.P. ("Dimension Management") Dimension Capital II, L.P. ("Dimension Capital II") Dimension Capital II GP, LLC ("Dimension Capital II GP") Dimension Management GP, LLC ("Dimension Management GP," and together with Dimension Management, Dimension Capital II, and Dimension Capital II GP, the "Dimension Entities") Adam Goulburn Zavain Dar Nan Li Dimension Management is the investment advisor to Dimension Capital II. Dimension Management GP is the general partner of the general partner of Dimension Management. Dimension Capital II GP is the general partner of the general partner of Dimension Capital II. Mr. Goulburn, Mr. Dar, and Mr. Li are members of each of Dimension Management GP and Dimension Capital II GP.</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0"/>
              <w:jc w:val="left"/>
              <w:rPr/>
            </w:pPr>
            <w:r>
              <w:rPr/>
              <w:t>The address of the principal business office of each of the Reporting Persons is 632 Broadway, Suite 801, New York, NY 10012.</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spacing w:before="0" w:after="0"/>
              <w:jc w:val="left"/>
              <w:rPr/>
            </w:pPr>
            <w:r>
              <w:rPr/>
              <w:t>The principal business of the Dimension Entities is the purchase, holding, and selling of securities for investment purposes. The principal occupation of each of Mr. Goulburn, Mr. Dar, and Mr. Li is the management of the Dimension Entities and other related entities.</w:t>
            </w:r>
          </w:p>
        </w:tc>
      </w:tr>
      <w:tr>
        <w:trPr/>
        <w:tc>
          <w:tcPr>
            <w:tcW w:w="1170" w:type="dxa"/>
            <w:tcBorders/>
            <w:vAlign w:val="center"/>
          </w:tcPr>
          <w:p>
            <w:pPr>
              <w:pStyle w:val="TableContents"/>
              <w:bidi w:val="0"/>
              <w:spacing w:before="0" w:after="283"/>
              <w:jc w:val="left"/>
              <w:rPr/>
            </w:pPr>
            <w:r>
              <w:rPr/>
              <w:t>(d)</w:t>
            </w:r>
          </w:p>
        </w:tc>
        <w:tc>
          <w:tcPr>
            <w:tcW w:w="9035"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70"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0" w:type="dxa"/>
            <w:tcBorders/>
            <w:vAlign w:val="center"/>
          </w:tcPr>
          <w:p>
            <w:pPr>
              <w:pStyle w:val="TableContents"/>
              <w:bidi w:val="0"/>
              <w:spacing w:before="0" w:after="283"/>
              <w:jc w:val="left"/>
              <w:rPr/>
            </w:pPr>
            <w:r>
              <w:rPr/>
              <w:t>(f)</w:t>
            </w:r>
          </w:p>
        </w:tc>
        <w:tc>
          <w:tcPr>
            <w:tcW w:w="9035" w:type="dxa"/>
            <w:tcBorders/>
            <w:vAlign w:val="center"/>
          </w:tcPr>
          <w:p>
            <w:pPr>
              <w:pStyle w:val="TableContents"/>
              <w:bidi w:val="0"/>
              <w:spacing w:before="0" w:after="0"/>
              <w:jc w:val="left"/>
              <w:rPr/>
            </w:pPr>
            <w:r>
              <w:rPr/>
              <w:t>Each of Dimension Management and Dimension Capital II is a Delaware limited partnership. Each of Dimension Capital II GP and Dimension Management GP is a Delaware limited liability company. Mr. Goulburn is an Australian citizen. Each of Mr. Dar and Mr. Li is a United States citizen.</w:t>
            </w:r>
          </w:p>
        </w:tc>
      </w:tr>
      <w:tr>
        <w:trPr/>
        <w:tc>
          <w:tcPr>
            <w:tcW w:w="1170" w:type="dxa"/>
            <w:tcBorders/>
            <w:vAlign w:val="center"/>
          </w:tcPr>
          <w:p>
            <w:pPr>
              <w:pStyle w:val="TableContents"/>
              <w:bidi w:val="0"/>
              <w:spacing w:before="0" w:after="283"/>
              <w:jc w:val="left"/>
              <w:rPr/>
            </w:pPr>
            <w:r>
              <w:rPr/>
              <w:t>Item 3.</w:t>
            </w:r>
          </w:p>
        </w:tc>
        <w:tc>
          <w:tcPr>
            <w:tcW w:w="9035" w:type="dxa"/>
            <w:tcBorders/>
            <w:vAlign w:val="center"/>
          </w:tcPr>
          <w:p>
            <w:pPr>
              <w:pStyle w:val="TableContents"/>
              <w:bidi w:val="0"/>
              <w:spacing w:before="0" w:after="283"/>
              <w:jc w:val="left"/>
              <w:rPr/>
            </w:pPr>
            <w:r>
              <w:rPr/>
              <w:t>Source and Amount of Funds or Other Consideration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Prior to the Issuer's initial public offering (the "IPO"), Dimension Capital II acquired (i) 512,862 shares of Common Stock for an aggregate purchase price of $49,835 through the exercise of warrants held by Dimension Capital II (such number giving effect to the Issuer's 1-for-9.7170 reverse stock split effected prior to the closing of the IPO) and (ii) shares of Series D Convertible Preferred Stock (the "Preferred Stock") that automatically converted into 1,709,543 shares of Common Stock at the closing of the Issuer's IPO for an aggregate purchase price of $24,999,999. Dimension Capital II acquired 1,111,111 shares of Common Stock for an aggregate purchase price of $19,999,998 in the Issuer's IPO. The source of funds for the acquisitions of Common Stock and Preferred Stock reported on this Schedule 13D was the working capital of Dimension Capital II.</w:t>
            </w:r>
          </w:p>
        </w:tc>
      </w:tr>
      <w:tr>
        <w:trPr/>
        <w:tc>
          <w:tcPr>
            <w:tcW w:w="1170" w:type="dxa"/>
            <w:tcBorders/>
            <w:vAlign w:val="center"/>
          </w:tcPr>
          <w:p>
            <w:pPr>
              <w:pStyle w:val="TableContents"/>
              <w:bidi w:val="0"/>
              <w:spacing w:before="0" w:after="283"/>
              <w:jc w:val="left"/>
              <w:rPr/>
            </w:pPr>
            <w:r>
              <w:rPr/>
              <w:t>Item 4.</w:t>
            </w:r>
          </w:p>
        </w:tc>
        <w:tc>
          <w:tcPr>
            <w:tcW w:w="9035" w:type="dxa"/>
            <w:tcBorders/>
            <w:vAlign w:val="center"/>
          </w:tcPr>
          <w:p>
            <w:pPr>
              <w:pStyle w:val="TableContents"/>
              <w:bidi w:val="0"/>
              <w:spacing w:before="0" w:after="283"/>
              <w:jc w:val="left"/>
              <w:rPr/>
            </w:pPr>
            <w:r>
              <w:rPr/>
              <w:t>Purpose of Transaction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The Reporting Persons acquired the Common Stock set forth in this Schedule 13D and hold their shares of Common Stock for investment purposes. Nan Li currently serves as a member of the Issuer's Board of Directors. Each Reporting Person expects to continuously review such person's investment in the Issuer and, depending on various factors including but not limited to, the price of the Common Stock, the terms and conditions of the transaction, prevailing market conditions and such other considerations as such Reporting Person deems relevant, may at any time or from time to time, and subject to any required regulatory approvals, acquire additional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 Each Reporting Person also may, at any time, subject to compliance with applicable securities laws and regulatory requirements dispose of or distribute some or all of its Common Stock or such other securities as it owns or may subsequently acquire depending on various factors, including but not limited to, the price of the shares, the terms and conditions of the transaction and prevailing market conditions, as well as the liquidity and diversification objectives. 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 Except as indicated herein, no Reporting Person, as a stockholder of the Issuer, has any plan or proposal that relates or would result in any of the transactions or other matters specified in clauses (a) through (j) of Item 4 of Schedule 13D. Each Reporting Person may, at any time and from time to time, review or reconsider its or his position and/or change its or his purpose and/or formulate plans or proposals with respect thereto.</w:t>
            </w:r>
          </w:p>
        </w:tc>
      </w:tr>
      <w:tr>
        <w:trPr/>
        <w:tc>
          <w:tcPr>
            <w:tcW w:w="1170" w:type="dxa"/>
            <w:tcBorders/>
            <w:vAlign w:val="center"/>
          </w:tcPr>
          <w:p>
            <w:pPr>
              <w:pStyle w:val="TableContents"/>
              <w:bidi w:val="0"/>
              <w:spacing w:before="0" w:after="283"/>
              <w:jc w:val="left"/>
              <w:rPr/>
            </w:pPr>
            <w:r>
              <w:rPr/>
              <w:t>Item 5.</w:t>
            </w:r>
          </w:p>
        </w:tc>
        <w:tc>
          <w:tcPr>
            <w:tcW w:w="9035" w:type="dxa"/>
            <w:tcBorders/>
            <w:vAlign w:val="center"/>
          </w:tcPr>
          <w:p>
            <w:pPr>
              <w:pStyle w:val="TableContents"/>
              <w:bidi w:val="0"/>
              <w:spacing w:before="0" w:after="283"/>
              <w:jc w:val="left"/>
              <w:rPr/>
            </w:pPr>
            <w:r>
              <w:rPr/>
              <w:t>Interest in Securities of the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spacing w:before="0" w:after="0"/>
              <w:jc w:val="left"/>
              <w:rPr/>
            </w:pPr>
            <w:r>
              <w:rPr/>
              <w:t>The information set forth in rows 11 and 13 of the cover pages to this Schedule 13D is incorporated herein by reference. The percentages set forth in row 13 are based on 47,174,156 shares of Common Stock outstanding, after giving effect to the closing of the Issuer's IPO, as reported by the Issuer in its prospectus filed pursuant to Rule 424(b)(4) with the Securities and Exchange Commission on May 8, 2026.</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0"/>
              <w:jc w:val="left"/>
              <w:rPr/>
            </w:pPr>
            <w:r>
              <w:rPr/>
              <w:t>The information set forth in rows 7 through 10 of the cover pages to this Schedule 13D is incorporated herein by reference.</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spacing w:before="0" w:after="0"/>
              <w:jc w:val="left"/>
              <w:rPr/>
            </w:pPr>
            <w:r>
              <w:rPr/>
              <w:t>On May 8, 2026, the closing date of the Issuer's IPO, (i) Dimension Capital II purchased 1,111,111 shares of Common Stock at a purchase price of $18.00 per share and (ii) shares of Preferred Stock held by Dimension Capital II automatically converted into 1,709,543 shares of Common Stock. Except as described herein, none of the Reporting Persons has effected any transaction in Common Stock in the past 60 days.</w:t>
            </w:r>
          </w:p>
        </w:tc>
      </w:tr>
      <w:tr>
        <w:trPr/>
        <w:tc>
          <w:tcPr>
            <w:tcW w:w="1170" w:type="dxa"/>
            <w:tcBorders/>
            <w:vAlign w:val="center"/>
          </w:tcPr>
          <w:p>
            <w:pPr>
              <w:pStyle w:val="TableContents"/>
              <w:bidi w:val="0"/>
              <w:spacing w:before="0" w:after="283"/>
              <w:jc w:val="left"/>
              <w:rPr/>
            </w:pPr>
            <w:r>
              <w:rPr/>
              <w:t>(d)</w:t>
            </w:r>
          </w:p>
        </w:tc>
        <w:tc>
          <w:tcPr>
            <w:tcW w:w="9035" w:type="dxa"/>
            <w:tcBorders/>
            <w:vAlign w:val="center"/>
          </w:tcPr>
          <w:p>
            <w:pPr>
              <w:pStyle w:val="TableContents"/>
              <w:bidi w:val="0"/>
              <w:spacing w:before="0" w:after="0"/>
              <w:jc w:val="left"/>
              <w:rPr/>
            </w:pPr>
            <w:r>
              <w:rPr/>
              <w:t>No person other than the Reporting Persons disclosed in this Schedule 13D is known to have the right to receive or the power to direct the receipt of dividends from, or the proceeds from the sale of, the Common Stock subject to this Schedule 13D.</w:t>
            </w:r>
          </w:p>
        </w:tc>
      </w:tr>
      <w:tr>
        <w:trPr/>
        <w:tc>
          <w:tcPr>
            <w:tcW w:w="1170"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0"/>
              <w:jc w:val="left"/>
              <w:rPr/>
            </w:pPr>
            <w:r>
              <w:rPr/>
              <w:t>Not applicable.</w:t>
            </w:r>
          </w:p>
        </w:tc>
      </w:tr>
      <w:tr>
        <w:trPr/>
        <w:tc>
          <w:tcPr>
            <w:tcW w:w="1170" w:type="dxa"/>
            <w:tcBorders/>
            <w:vAlign w:val="center"/>
          </w:tcPr>
          <w:p>
            <w:pPr>
              <w:pStyle w:val="TableContents"/>
              <w:bidi w:val="0"/>
              <w:spacing w:before="0" w:after="283"/>
              <w:jc w:val="left"/>
              <w:rPr/>
            </w:pPr>
            <w:r>
              <w:rPr/>
              <w:t>Item 6.</w:t>
            </w:r>
          </w:p>
        </w:tc>
        <w:tc>
          <w:tcPr>
            <w:tcW w:w="9035"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The information set forth in Item 4 of this Schedule 13D is incorporated herein by reference.</w:t>
            </w:r>
          </w:p>
        </w:tc>
      </w:tr>
      <w:tr>
        <w:trPr/>
        <w:tc>
          <w:tcPr>
            <w:tcW w:w="1170" w:type="dxa"/>
            <w:tcBorders/>
            <w:vAlign w:val="center"/>
          </w:tcPr>
          <w:p>
            <w:pPr>
              <w:pStyle w:val="TableContents"/>
              <w:bidi w:val="0"/>
              <w:spacing w:before="0" w:after="283"/>
              <w:jc w:val="left"/>
              <w:rPr/>
            </w:pPr>
            <w:r>
              <w:rPr/>
              <w:t>Item 7.</w:t>
            </w:r>
          </w:p>
        </w:tc>
        <w:tc>
          <w:tcPr>
            <w:tcW w:w="9035" w:type="dxa"/>
            <w:tcBorders/>
            <w:vAlign w:val="center"/>
          </w:tcPr>
          <w:p>
            <w:pPr>
              <w:pStyle w:val="TableContents"/>
              <w:bidi w:val="0"/>
              <w:spacing w:before="0" w:after="283"/>
              <w:jc w:val="left"/>
              <w:rPr/>
            </w:pPr>
            <w:r>
              <w:rPr/>
              <w:t>Material to be Filed as Exhibits.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Exhibit 99.1 Joint Filing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Dimension Management,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Dimension Management GP,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Adam Goulburn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Member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Dimension Capital II, L.P.</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3"/>
        <w:gridCol w:w="4302"/>
      </w:tblGrid>
      <w:tr>
        <w:trPr/>
        <w:tc>
          <w:tcPr>
            <w:tcW w:w="59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By Dimension Capital II GP, LP</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its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Adam Goulburn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Member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Dimension Capital II GP,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Adam Goulburn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Member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Dimension Management GP,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Adam Goulburn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Member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Adam Goulburn</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Adam Goulburn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Adam Goulburn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Zavain Dar</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Zavain Dar</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Zavain Dar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1888" w:type="dxa"/>
        <w:jc w:val="left"/>
        <w:tblInd w:w="0" w:type="dxa"/>
        <w:tblLayout w:type="fixed"/>
        <w:tblCellMar>
          <w:top w:w="28" w:type="dxa"/>
          <w:left w:w="28" w:type="dxa"/>
          <w:bottom w:w="28" w:type="dxa"/>
          <w:right w:w="28" w:type="dxa"/>
        </w:tblCellMar>
      </w:tblPr>
      <w:tblGrid>
        <w:gridCol w:w="944"/>
        <w:gridCol w:w="944"/>
      </w:tblGrid>
      <w:tr>
        <w:trPr/>
        <w:tc>
          <w:tcPr>
            <w:tcW w:w="944" w:type="dxa"/>
            <w:tcBorders/>
            <w:vAlign w:val="center"/>
          </w:tcPr>
          <w:p>
            <w:pPr>
              <w:pStyle w:val="TableContents"/>
              <w:bidi w:val="0"/>
              <w:spacing w:before="0" w:after="0"/>
              <w:jc w:val="left"/>
              <w:rPr/>
            </w:pPr>
            <w:r>
              <w:rPr/>
              <w:t> </w:t>
            </w:r>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0"/>
                    <w:jc w:val="left"/>
                    <w:rPr/>
                  </w:pPr>
                  <w:r>
                    <w:rPr/>
                    <w:t>Nan Li</w:t>
                  </w:r>
                </w:p>
              </w:tc>
            </w:tr>
          </w:tbl>
          <w:p>
            <w:pPr>
              <w:pStyle w:val="TableContents"/>
              <w:bidi w:val="0"/>
              <w:spacing w:before="0" w:after="283"/>
              <w:jc w:val="left"/>
              <w:rPr/>
            </w:pPr>
            <w:r>
              <w:rPr/>
            </w:r>
          </w:p>
        </w:tc>
        <w:tc>
          <w:tcPr>
            <w:tcW w:w="9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Nan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Nan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8" w:name="avd-ex99_1.htm"/>
      <w:bookmarkStart w:id="39" w:name="ksavdex99_1"/>
      <w:bookmarkEnd w:id="38"/>
      <w:bookmarkEnd w:id="39"/>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May 15, 2026</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DIMENSION MANAGEMENT,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Dimension Management GP,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Adam Goulburn</w:t>
      </w:r>
    </w:p>
    <w:p>
      <w:pPr>
        <w:pStyle w:val="TextBody"/>
        <w:bidi w:val="0"/>
        <w:jc w:val="left"/>
        <w:rPr>
          <w:rFonts w:ascii="Times New Roman" w:hAnsi="Times New Roman"/>
          <w:color w:val="000000"/>
          <w:sz w:val="22"/>
        </w:rPr>
      </w:pPr>
      <w:r>
        <w:rPr>
          <w:rFonts w:ascii="Times New Roman" w:hAnsi="Times New Roman"/>
          <w:color w:val="000000"/>
          <w:sz w:val="22"/>
        </w:rPr>
        <w:t>Name: Adam Goulburn</w:t>
      </w:r>
    </w:p>
    <w:p>
      <w:pPr>
        <w:pStyle w:val="TextBody"/>
        <w:bidi w:val="0"/>
        <w:jc w:val="left"/>
        <w:rPr>
          <w:rFonts w:ascii="Times New Roman" w:hAnsi="Times New Roman"/>
          <w:color w:val="000000"/>
          <w:sz w:val="22"/>
        </w:rPr>
      </w:pPr>
      <w:r>
        <w:rPr>
          <w:rFonts w:ascii="Times New Roman" w:hAnsi="Times New Roman"/>
          <w:color w:val="000000"/>
          <w:sz w:val="22"/>
        </w:rPr>
        <w:t>Title: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DIMENSION CAPITAL II,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Dimension Capital II GP, LP,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Adam Goulburn</w:t>
      </w:r>
    </w:p>
    <w:p>
      <w:pPr>
        <w:pStyle w:val="TextBody"/>
        <w:bidi w:val="0"/>
        <w:jc w:val="left"/>
        <w:rPr>
          <w:rFonts w:ascii="Times New Roman" w:hAnsi="Times New Roman"/>
          <w:color w:val="000000"/>
          <w:sz w:val="22"/>
        </w:rPr>
      </w:pPr>
      <w:r>
        <w:rPr>
          <w:rFonts w:ascii="Times New Roman" w:hAnsi="Times New Roman"/>
          <w:color w:val="000000"/>
          <w:sz w:val="22"/>
        </w:rPr>
        <w:t>Name: Adam Goulburn</w:t>
      </w:r>
    </w:p>
    <w:p>
      <w:pPr>
        <w:pStyle w:val="TextBody"/>
        <w:bidi w:val="0"/>
        <w:jc w:val="left"/>
        <w:rPr>
          <w:rFonts w:ascii="Times New Roman" w:hAnsi="Times New Roman"/>
          <w:color w:val="000000"/>
          <w:sz w:val="22"/>
        </w:rPr>
      </w:pPr>
      <w:r>
        <w:rPr>
          <w:rFonts w:ascii="Times New Roman" w:hAnsi="Times New Roman"/>
          <w:color w:val="000000"/>
          <w:sz w:val="22"/>
        </w:rPr>
        <w:t>Title: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DIMENSION CAPITAL II GP,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Adam Goulburn</w:t>
      </w:r>
    </w:p>
    <w:p>
      <w:pPr>
        <w:pStyle w:val="TextBody"/>
        <w:bidi w:val="0"/>
        <w:jc w:val="left"/>
        <w:rPr>
          <w:rFonts w:ascii="Times New Roman" w:hAnsi="Times New Roman"/>
          <w:color w:val="000000"/>
          <w:sz w:val="22"/>
        </w:rPr>
      </w:pPr>
      <w:r>
        <w:rPr>
          <w:rFonts w:ascii="Times New Roman" w:hAnsi="Times New Roman"/>
          <w:color w:val="000000"/>
          <w:sz w:val="22"/>
        </w:rPr>
        <w:t>Name: Adam Goulburn</w:t>
      </w:r>
    </w:p>
    <w:p>
      <w:pPr>
        <w:pStyle w:val="TextBody"/>
        <w:bidi w:val="0"/>
        <w:jc w:val="left"/>
        <w:rPr>
          <w:rFonts w:ascii="Times New Roman" w:hAnsi="Times New Roman"/>
          <w:color w:val="000000"/>
          <w:sz w:val="22"/>
        </w:rPr>
      </w:pPr>
      <w:r>
        <w:rPr>
          <w:rFonts w:ascii="Times New Roman" w:hAnsi="Times New Roman"/>
          <w:color w:val="000000"/>
          <w:sz w:val="22"/>
        </w:rPr>
        <w:t>Title: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DIMENSION MANAGEMENT GP,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Adam Goulburn</w:t>
      </w:r>
    </w:p>
    <w:p>
      <w:pPr>
        <w:pStyle w:val="TextBody"/>
        <w:bidi w:val="0"/>
        <w:jc w:val="left"/>
        <w:rPr>
          <w:rFonts w:ascii="Times New Roman" w:hAnsi="Times New Roman"/>
          <w:color w:val="000000"/>
          <w:sz w:val="22"/>
        </w:rPr>
      </w:pPr>
      <w:r>
        <w:rPr>
          <w:rFonts w:ascii="Times New Roman" w:hAnsi="Times New Roman"/>
          <w:color w:val="000000"/>
          <w:sz w:val="22"/>
        </w:rPr>
        <w:t>Name: Adam Goulburn</w:t>
      </w:r>
    </w:p>
    <w:p>
      <w:pPr>
        <w:pStyle w:val="TextBody"/>
        <w:bidi w:val="0"/>
        <w:jc w:val="left"/>
        <w:rPr>
          <w:rFonts w:ascii="Times New Roman" w:hAnsi="Times New Roman"/>
          <w:color w:val="000000"/>
          <w:sz w:val="22"/>
        </w:rPr>
      </w:pPr>
      <w:r>
        <w:rPr>
          <w:rFonts w:ascii="Times New Roman" w:hAnsi="Times New Roman"/>
          <w:color w:val="000000"/>
          <w:sz w:val="22"/>
        </w:rPr>
        <w:t>Title: Member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/s/ Adam Goulburn</w:t>
      </w:r>
      <w:r>
        <w:rPr>
          <w:rFonts w:ascii="Times New Roman" w:hAnsi="Times New Roman"/>
          <w:color w:val="000000"/>
          <w:sz w:val="22"/>
        </w:rPr>
        <w:br/>
        <w:t>ADAM GOULBURN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Zavain Dar</w:t>
      </w:r>
    </w:p>
    <w:p>
      <w:pPr>
        <w:pStyle w:val="TextBody"/>
        <w:bidi w:val="0"/>
        <w:jc w:val="left"/>
        <w:rPr>
          <w:rFonts w:ascii="Times New Roman" w:hAnsi="Times New Roman"/>
          <w:color w:val="000000"/>
          <w:sz w:val="22"/>
        </w:rPr>
      </w:pPr>
      <w:r>
        <w:rPr>
          <w:rFonts w:ascii="Times New Roman" w:hAnsi="Times New Roman"/>
          <w:color w:val="000000"/>
          <w:sz w:val="22"/>
        </w:rPr>
        <w:t>ZAVAIN DAR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Nan Li</w:t>
      </w:r>
    </w:p>
    <w:p>
      <w:pPr>
        <w:pStyle w:val="TextBody"/>
        <w:bidi w:val="0"/>
        <w:jc w:val="left"/>
        <w:rPr>
          <w:rFonts w:ascii="Times New Roman" w:hAnsi="Times New Roman"/>
          <w:color w:val="000000"/>
          <w:sz w:val="22"/>
        </w:rPr>
      </w:pPr>
      <w:r>
        <w:rPr>
          <w:rFonts w:ascii="Times New Roman" w:hAnsi="Times New Roman"/>
          <w:color w:val="000000"/>
          <w:sz w:val="22"/>
        </w:rPr>
        <w:t>NAN LI</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2566</Words>
  <Characters>13395</Characters>
  <CharactersWithSpaces>15757</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