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Odyssey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Sasha Keough</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SR One Capital Management, LP, 929 Main Street, Suite 200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Redwood City, CA, 94063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(410) 800-7503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SR One Capital Management,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3,794,883.00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3,794,883.00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3,794,883.00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SR One Capital Fund I Aggregator,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1,831,383.00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1,831,383.00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1,831,383.00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3.9 %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SR One Capital Partners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1,831,383.00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1,831,383.00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1,831,383.00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2">
            <w:col w:w="1060" w:space="60"/>
            <w:col w:w="8979"/>
          </w:cols>
          <w:pgMar w:left="360" w:top="102"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SR One Co-Invest IV,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6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374,335.00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374,335.00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374,335.00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369" w:right="144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SR One Co-Invest IV-A,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574,314.00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574,314.00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574,314.00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SR One Co-Invest IV Manager,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08" w:right="1440" w:bottom="0" w:gutter="0" w:footer="0" w:header="0"/>
          <w:type w:val="continuous"/>
        </w:sectPr>
      </w:pPr>
    </w:p>
    <w:bookmarkStart w:id="5" w:name="page6"/>
    <w:bookmarkEnd w:id="5"/>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AF</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948,649.00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948,649.00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948,649.00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AMZL,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240" w:type="dxa"/>
            <w:vAlign w:val="bottom"/>
            <w:vMerge w:val="restart"/>
          </w:tcPr>
          <w:p>
            <w:pPr>
              <w:jc w:val="right"/>
              <w:ind w:right="189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1,014,851.00</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tabs>
          <w:tab w:leader="none" w:pos="1140" w:val="left"/>
        </w:tabs>
        <w:rPr>
          <w:sz w:val="20"/>
          <w:szCs w:val="20"/>
          <w:color w:val="auto"/>
        </w:rPr>
      </w:pPr>
      <w:r>
        <w:rPr>
          <w:rFonts w:ascii="Times New Roman" w:cs="Times New Roman" w:eastAsia="Times New Roman" w:hAnsi="Times New Roman"/>
          <w:sz w:val="22"/>
          <w:szCs w:val="22"/>
          <w:color w:val="auto"/>
        </w:rPr>
        <w:t>Person</w:t>
      </w:r>
      <w:r>
        <w:rPr>
          <w:sz w:val="20"/>
          <w:szCs w:val="20"/>
          <w:color w:val="auto"/>
        </w:rPr>
        <w:tab/>
      </w:r>
      <w:r>
        <w:rPr>
          <w:rFonts w:ascii="Times New Roman" w:cs="Times New Roman" w:eastAsia="Times New Roman" w:hAnsi="Times New Roman"/>
          <w:sz w:val="22"/>
          <w:szCs w:val="22"/>
          <w:color w:val="auto"/>
        </w:rPr>
        <w:t>9  Sole Dispositive Power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1,014,851.00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1,014,851.00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SR One Capital SMA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1,014,851.00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1,014,851.00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1,014,851.00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060" w:space="60"/>
            <w:col w:w="8979"/>
          </w:cols>
          <w:pgMar w:left="360" w:top="111" w:right="1440" w:bottom="0" w:gutter="0" w:footer="0" w:header="0"/>
          <w:type w:val="continuous"/>
        </w:sectPr>
      </w:pPr>
    </w:p>
    <w:bookmarkStart w:id="7" w:name="page8"/>
    <w:bookmarkEnd w:id="7"/>
    <w:p>
      <w:pPr>
        <w:spacing w:after="0" w:line="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2.2 %</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Simeon George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2"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3,794,883.00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3,794,883.00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3,794,883.00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62"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62" w:orient="portrait"/>
          <w:cols w:equalWidth="0" w:num="1">
            <w:col w:w="10099"/>
          </w:cols>
          <w:pgMar w:left="360" w:top="355" w:right="1440" w:bottom="0" w:gutter="0" w:footer="0" w:header="0"/>
          <w:type w:val="continuous"/>
        </w:sectPr>
      </w:pPr>
    </w:p>
    <w:p>
      <w:pPr>
        <w:spacing w:after="0" w:line="3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of Class of Securities:</w:t>
      </w:r>
    </w:p>
    <w:p>
      <w:pPr>
        <w:sectPr>
          <w:pgSz w:w="11900" w:h="16862" w:orient="portrait"/>
          <w:cols w:equalWidth="0" w:num="1">
            <w:col w:w="10099"/>
          </w:cols>
          <w:pgMar w:left="360" w:top="355" w:right="1440" w:bottom="0" w:gutter="0" w:footer="0" w:header="0"/>
          <w:type w:val="continuous"/>
        </w:sectPr>
      </w:pPr>
    </w:p>
    <w:bookmarkStart w:id="8" w:name="page9"/>
    <w:bookmarkEnd w:id="8"/>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Odyssey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51 Sleeper Street, Suite 800, Boston, MASSACHUSETTS , 02210.</w:t>
      </w:r>
    </w:p>
    <w:p>
      <w:pPr>
        <w:spacing w:after="0" w:line="2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on Schedule 13D (this "Statement") relates to the shares of common stock, $0.0001 par value per</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share ("Common Stock") of Odyssey Therapeutics, Inc. (the "Issuer").</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40"/>
        <w:spacing w:after="0" w:line="244" w:lineRule="auto"/>
        <w:rPr>
          <w:sz w:val="20"/>
          <w:szCs w:val="20"/>
          <w:color w:val="auto"/>
        </w:rPr>
      </w:pPr>
      <w:r>
        <w:rPr>
          <w:rFonts w:ascii="Times New Roman" w:cs="Times New Roman" w:eastAsia="Times New Roman" w:hAnsi="Times New Roman"/>
          <w:sz w:val="21"/>
          <w:szCs w:val="21"/>
          <w:color w:val="auto"/>
        </w:rPr>
        <w:t>SR One Capital Management, LLC ("SR One Capital Management"); SR One Capital Fund I Aggregator, LP ("SR One Fund I Aggregator"); SR One Capital Partners I, LP ("SR One Partners I"); SR One Co-Invest IV, LLC ("SR One Co-Invest IV"); SR One Co-Invest IV-A, LLC ("SR One Co-Invest IV-A"); SR One Co-Invest IV Manager, LLC ("SR One Co-Invest IV Manager"); AMZL, LP ("AMZL"); SR One Capital SMA Partners, LP ("SMA Partners"); and Simeon George, M.D. ("Dr. George"). SR One Fund I Aggregator is directly controlled by its general partner, SR One Partners I. SR One Co-Invest IV and SR One Co-Invest IV-A are directly controlled by their managing members, SR One Co-Invest IV Manager. AMZL is directly controlled by its general partner, SMA Partners. SR One Partners I</w:t>
      </w:r>
    </w:p>
    <w:p>
      <w:pPr>
        <w:spacing w:after="0" w:line="6" w:lineRule="exact"/>
        <w:rPr>
          <w:sz w:val="20"/>
          <w:szCs w:val="20"/>
          <w:color w:val="auto"/>
        </w:rPr>
      </w:pPr>
    </w:p>
    <w:p>
      <w:pPr>
        <w:ind w:left="920" w:right="60" w:hanging="912"/>
        <w:spacing w:after="0" w:line="232"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SMA Partners are directly controlled by their general partners, SR One Capital Management, SR One Co-Invest IV Manager is directly controlled by its managing member, SR One Capital Management, and Dr. George controls SR One Capital Management. Accordingly, each of SR One Capital Management and Dr. George may be deemed to have voting and dispositive power with respect to the SR One Fund I Aggregator Shares, the SR One Co-Invest IV Shares, the SR One Co-Invest IV-A Shares and the AMZL Shares (each as defined below). The persons named in this Item 2 are referred to individually herein as a "Reporting Person" and collectively as the "Reporting Persons." SR One Fund I Aggregator, SR One Co-Invest IV, SR One Co-Invest IV-A and AMZL are referred to collectively as the "Funds."</w:t>
      </w:r>
    </w:p>
    <w:p>
      <w:pPr>
        <w:spacing w:after="0" w:line="17" w:lineRule="exact"/>
        <w:rPr>
          <w:rFonts w:ascii="Times New Roman" w:cs="Times New Roman" w:eastAsia="Times New Roman" w:hAnsi="Times New Roman"/>
          <w:sz w:val="22"/>
          <w:szCs w:val="22"/>
          <w:color w:val="auto"/>
        </w:rPr>
      </w:pPr>
    </w:p>
    <w:p>
      <w:pPr>
        <w:ind w:left="920" w:right="32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each Reporting Person for purposes of this filing is c/o SR One Capital Management, LP, 929 Main Street, Suite 200, Redwood City, CA 94063.</w:t>
      </w:r>
    </w:p>
    <w:p>
      <w:pPr>
        <w:spacing w:after="0" w:line="17" w:lineRule="exact"/>
        <w:rPr>
          <w:rFonts w:ascii="Times New Roman" w:cs="Times New Roman" w:eastAsia="Times New Roman" w:hAnsi="Times New Roman"/>
          <w:sz w:val="39"/>
          <w:szCs w:val="39"/>
          <w:color w:val="auto"/>
          <w:vertAlign w:val="subscript"/>
        </w:rPr>
      </w:pPr>
    </w:p>
    <w:p>
      <w:pPr>
        <w:ind w:left="920" w:right="40"/>
        <w:spacing w:after="0" w:line="249"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The principal business of the Funds is to invest in and assist growth-oriented businesses. The principal business of SR One Partners I is to act as the sole general partner of SR One Fund I Aggregator. The principal business of SR One Co-Invest Manager is to act as the managing member of SR One Co-Invest IV and SR One Co-Invest IV-A. The</w:t>
      </w:r>
    </w:p>
    <w:p>
      <w:pPr>
        <w:spacing w:after="0" w:line="1" w:lineRule="exact"/>
        <w:rPr>
          <w:rFonts w:ascii="Times New Roman" w:cs="Times New Roman" w:eastAsia="Times New Roman" w:hAnsi="Times New Roman"/>
          <w:sz w:val="39"/>
          <w:szCs w:val="39"/>
          <w:color w:val="auto"/>
          <w:vertAlign w:val="subscript"/>
        </w:rPr>
      </w:pPr>
    </w:p>
    <w:p>
      <w:pPr>
        <w:ind w:left="920" w:right="160" w:hanging="912"/>
        <w:spacing w:after="0" w:line="252" w:lineRule="auto"/>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principal business of SMA Partners is to act as the general partner of AMZL. The principal business of SR One Capital Management is to act as the sole general partner of SR One Partners I and SMA Partners and the sole managing member of SR One Co-Invest IV Manager and a number of affiliated partnerships and limited liability companies with similar businesses. The principal business of Dr. George is to manage SR One Capital Management. During the five years prior to the date hereof, none of the Reporting Persons has been convicted in a criminal</w:t>
      </w:r>
    </w:p>
    <w:p>
      <w:pPr>
        <w:spacing w:after="0" w:line="1" w:lineRule="exact"/>
        <w:rPr>
          <w:rFonts w:ascii="Times New Roman" w:cs="Times New Roman" w:eastAsia="Times New Roman" w:hAnsi="Times New Roman"/>
          <w:sz w:val="21"/>
          <w:szCs w:val="21"/>
          <w:color w:val="auto"/>
        </w:rPr>
      </w:pPr>
    </w:p>
    <w:p>
      <w:pPr>
        <w:ind w:left="920" w:right="200" w:hanging="912"/>
        <w:spacing w:after="0" w:line="184" w:lineRule="auto"/>
        <w:tabs>
          <w:tab w:leader="none" w:pos="92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proceeding or has been a party to a civil proceeding ending in a judgment, decree or final order enjoining future violations of, or prohibiting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During the five years prior to the date hereof, none of the Reporting Persons has been convicted in a criminal</w:t>
      </w:r>
    </w:p>
    <w:p>
      <w:pPr>
        <w:spacing w:after="0" w:line="14" w:lineRule="exact"/>
        <w:rPr>
          <w:rFonts w:ascii="Times New Roman" w:cs="Times New Roman" w:eastAsia="Times New Roman" w:hAnsi="Times New Roman"/>
          <w:sz w:val="42"/>
          <w:szCs w:val="42"/>
          <w:color w:val="auto"/>
          <w:vertAlign w:val="subscript"/>
        </w:rPr>
      </w:pPr>
    </w:p>
    <w:p>
      <w:pPr>
        <w:ind w:left="920" w:right="200" w:hanging="912"/>
        <w:spacing w:after="0" w:line="184" w:lineRule="auto"/>
        <w:tabs>
          <w:tab w:leader="none" w:pos="92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proceeding or has been a party to a civil proceeding ending in a judgment, decree or final order enjoining future violations of, or prohibiting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SR One Fund I Aggregator, SR One Partners I, AMZL, and SMA Partners are limited partnerships organized under</w:t>
      </w:r>
    </w:p>
    <w:p>
      <w:pPr>
        <w:spacing w:after="0" w:line="14" w:lineRule="exact"/>
        <w:rPr>
          <w:rFonts w:ascii="Times New Roman" w:cs="Times New Roman" w:eastAsia="Times New Roman" w:hAnsi="Times New Roman"/>
          <w:sz w:val="42"/>
          <w:szCs w:val="42"/>
          <w:color w:val="auto"/>
          <w:vertAlign w:val="subscript"/>
        </w:rPr>
      </w:pPr>
    </w:p>
    <w:p>
      <w:pPr>
        <w:ind w:left="920" w:right="80" w:hanging="912"/>
        <w:spacing w:after="0" w:line="184" w:lineRule="auto"/>
        <w:tabs>
          <w:tab w:leader="none" w:pos="92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laws of the State of Delaware. SR One Co-Invest IV, SR One Co-Invest IV-A, SR One Co-Invest IV Manager and SR One Capital Management are limited liability companies organized under the laws of the State of Delaware. Dr. George is a United States citizen.</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On May 7, 2026, the Registration Statement on Form S-1 filed with the Securities and Exchange Commission (the "SEC") by the Issuer (File No. 333-295141) in connection with its initial public offering of 15,500,000 shares of Common Stock of the Issuer (exclusive of the 2,325,000 shares of Common Stock that the underwriters may purchase upon exercise of their option to purchase additional shares in full) (the "IPO") was declared effective. The closing of the IPO took place on May 11, 2026 (the "Closing"), and in connection with the Closing, SR One Fund I Aggregator purchased 222,222 shares of Common Stock, SR One Co-Invest IV-A purchased 133,333 shares of Common Stock and AMZL purchased 200,000 shares of Common Stock, each at the IPO price of $18.00 per share. Prior to the Closing, SR One Fund I Aggregator purchased from the Issuer in a series of private transactions 4,606,320 shares of Series A Convertible Preferred Stock (the "SR One Fund I Aggregator Series A Preferred Stock") for an aggregate purchase price of $19,999,996.56; 1,299,842 shares of Series A-2 Convertible Preferred Stock (the "SR One Fund I Aggregator Series A-2 Preferred Stock") for an aggregate purchase price of $7,999,994.57; 544,162 shares of Series B Convertible Preferred Stock (the "SR One Fund I Aggregator Series B Preferred Stock") for an aggregate purchase price of $3,499,998.53; 600,142 shares of Series C Convertible Preferred Stock (the "SR One Fund I Aggregator Series C Preferred Stock") for an aggregate purchase price of $3,000,710.00; and 6,644,650 shares of Series D Convertible Preferred Stock (the "SR One Fund I Aggregator Series D Preferred Stock"), along with 1,861,211 warrants to purchase shares of Common Stock (the "SR One Fund I Aggregator Series D Warrants"), for an aggregate purchase price of $9,999,998.92. Immediately prior to the Closing, the SR One Fund I Aggregator Series A Preferred</w:t>
      </w:r>
    </w:p>
    <w:p>
      <w:pPr>
        <w:sectPr>
          <w:pgSz w:w="11900" w:h="16838" w:orient="portrait"/>
          <w:cols w:equalWidth="0" w:num="1">
            <w:col w:w="11160"/>
          </w:cols>
          <w:pgMar w:left="360" w:top="355" w:right="379" w:bottom="0" w:gutter="0" w:footer="0" w:header="0"/>
        </w:sectPr>
      </w:pPr>
    </w:p>
    <w:bookmarkStart w:id="9" w:name="page10"/>
    <w:bookmarkEnd w:id="9"/>
    <w:p>
      <w:pPr>
        <w:ind w:left="920" w:right="360"/>
        <w:spacing w:after="0" w:line="253" w:lineRule="auto"/>
        <w:rPr>
          <w:sz w:val="20"/>
          <w:szCs w:val="20"/>
          <w:color w:val="auto"/>
        </w:rPr>
      </w:pPr>
      <w:r>
        <w:rPr>
          <w:rFonts w:ascii="Times New Roman" w:cs="Times New Roman" w:eastAsia="Times New Roman" w:hAnsi="Times New Roman"/>
          <w:sz w:val="21"/>
          <w:szCs w:val="21"/>
          <w:color w:val="auto"/>
        </w:rPr>
        <w:t>Stock automatically converted into 474,048 shares of Common Stock on a 1-for-9.7170 basis; the SR One Fund I Aggregator Series A-2 Preferred Stock automatically converted into 139,366 shares of Common Stock on a 1-for-</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9.3268 basis; the SR One Fund I Aggregator Series B Preferred Stock automatically converted into 59,692 shares of</w:t>
      </w:r>
    </w:p>
    <w:p>
      <w:pPr>
        <w:ind w:left="920"/>
        <w:spacing w:after="0" w:line="231" w:lineRule="auto"/>
        <w:rPr>
          <w:sz w:val="20"/>
          <w:szCs w:val="20"/>
          <w:color w:val="auto"/>
        </w:rPr>
      </w:pPr>
      <w:r>
        <w:rPr>
          <w:rFonts w:ascii="Times New Roman" w:cs="Times New Roman" w:eastAsia="Times New Roman" w:hAnsi="Times New Roman"/>
          <w:sz w:val="22"/>
          <w:szCs w:val="22"/>
          <w:color w:val="auto"/>
        </w:rPr>
        <w:t>Common Stock on a 1-for-9.2837 basis; the SR One Fund I Aggregator Series C Preferred Stock automatically</w:t>
      </w:r>
    </w:p>
    <w:p>
      <w:pPr>
        <w:ind w:left="920"/>
        <w:spacing w:after="0" w:line="231" w:lineRule="auto"/>
        <w:rPr>
          <w:sz w:val="20"/>
          <w:szCs w:val="20"/>
          <w:color w:val="auto"/>
        </w:rPr>
      </w:pPr>
      <w:r>
        <w:rPr>
          <w:rFonts w:ascii="Times New Roman" w:cs="Times New Roman" w:eastAsia="Times New Roman" w:hAnsi="Times New Roman"/>
          <w:sz w:val="22"/>
          <w:szCs w:val="22"/>
          <w:color w:val="auto"/>
        </w:rPr>
        <w:t>converted into 61,762 shares of Common Stock on a 1-for-9.7170 basis; the SR One Fund I Aggregator Series D</w:t>
      </w:r>
    </w:p>
    <w:p>
      <w:pPr>
        <w:ind w:left="920"/>
        <w:spacing w:after="0" w:line="231" w:lineRule="auto"/>
        <w:rPr>
          <w:sz w:val="20"/>
          <w:szCs w:val="20"/>
          <w:color w:val="auto"/>
        </w:rPr>
      </w:pPr>
      <w:r>
        <w:rPr>
          <w:rFonts w:ascii="Times New Roman" w:cs="Times New Roman" w:eastAsia="Times New Roman" w:hAnsi="Times New Roman"/>
          <w:sz w:val="22"/>
          <w:szCs w:val="22"/>
          <w:color w:val="auto"/>
        </w:rPr>
        <w:t>Preferred Stock automatically converted into 683,817 shares of Common Stock on a 1-for-9.7170 basis; and the SR</w:t>
      </w:r>
    </w:p>
    <w:p>
      <w:pPr>
        <w:ind w:left="920"/>
        <w:spacing w:after="0" w:line="230" w:lineRule="auto"/>
        <w:rPr>
          <w:sz w:val="20"/>
          <w:szCs w:val="20"/>
          <w:color w:val="auto"/>
        </w:rPr>
      </w:pPr>
      <w:r>
        <w:rPr>
          <w:rFonts w:ascii="Times New Roman" w:cs="Times New Roman" w:eastAsia="Times New Roman" w:hAnsi="Times New Roman"/>
          <w:sz w:val="22"/>
          <w:szCs w:val="22"/>
          <w:color w:val="auto"/>
        </w:rPr>
        <w:t>One Fund I Aggregator Series D Warrants were automatically exercised for 191,541 shares of Common Stock by</w:t>
      </w:r>
    </w:p>
    <w:p>
      <w:pPr>
        <w:ind w:left="920"/>
        <w:spacing w:after="0" w:line="231" w:lineRule="auto"/>
        <w:rPr>
          <w:sz w:val="20"/>
          <w:szCs w:val="20"/>
          <w:color w:val="auto"/>
        </w:rPr>
      </w:pPr>
      <w:r>
        <w:rPr>
          <w:rFonts w:ascii="Times New Roman" w:cs="Times New Roman" w:eastAsia="Times New Roman" w:hAnsi="Times New Roman"/>
          <w:sz w:val="22"/>
          <w:szCs w:val="22"/>
          <w:color w:val="auto"/>
        </w:rPr>
        <w:t>their terms (as adjusted for the 1-for-9.7170 reverse stock split effected in connection with the IPO). Pursuant to the</w:t>
      </w:r>
    </w:p>
    <w:p>
      <w:pPr>
        <w:ind w:left="920"/>
        <w:spacing w:after="0" w:line="230" w:lineRule="auto"/>
        <w:rPr>
          <w:sz w:val="20"/>
          <w:szCs w:val="20"/>
          <w:color w:val="auto"/>
        </w:rPr>
      </w:pPr>
      <w:r>
        <w:rPr>
          <w:rFonts w:ascii="Times New Roman" w:cs="Times New Roman" w:eastAsia="Times New Roman" w:hAnsi="Times New Roman"/>
          <w:sz w:val="22"/>
          <w:szCs w:val="22"/>
          <w:color w:val="auto"/>
        </w:rPr>
        <w:t>terms of the warrants, the Issuer withheld 1,065 shares of Common Stock from such shares to pay the exercise price</w:t>
      </w:r>
    </w:p>
    <w:p>
      <w:pPr>
        <w:ind w:left="920"/>
        <w:spacing w:after="0" w:line="231" w:lineRule="auto"/>
        <w:rPr>
          <w:sz w:val="20"/>
          <w:szCs w:val="20"/>
          <w:color w:val="auto"/>
        </w:rPr>
      </w:pPr>
      <w:r>
        <w:rPr>
          <w:rFonts w:ascii="Times New Roman" w:cs="Times New Roman" w:eastAsia="Times New Roman" w:hAnsi="Times New Roman"/>
          <w:sz w:val="22"/>
          <w:szCs w:val="22"/>
          <w:color w:val="auto"/>
        </w:rPr>
        <w:t>in connection with the automatic net exercise of the SR One Fund I Aggregator Series D Warrants. SR One Fund I</w:t>
      </w:r>
    </w:p>
    <w:p>
      <w:pPr>
        <w:ind w:left="920"/>
        <w:spacing w:after="0" w:line="230" w:lineRule="auto"/>
        <w:rPr>
          <w:sz w:val="20"/>
          <w:szCs w:val="20"/>
          <w:color w:val="auto"/>
        </w:rPr>
      </w:pPr>
      <w:r>
        <w:rPr>
          <w:rFonts w:ascii="Times New Roman" w:cs="Times New Roman" w:eastAsia="Times New Roman" w:hAnsi="Times New Roman"/>
          <w:sz w:val="22"/>
          <w:szCs w:val="22"/>
          <w:color w:val="auto"/>
        </w:rPr>
        <w:t>Aggregator now holds a total of 1,831,383 shares of Common Stock (the "SR One Fund I Aggregator Shares"). The</w:t>
      </w:r>
    </w:p>
    <w:p>
      <w:pPr>
        <w:ind w:left="920"/>
        <w:spacing w:after="0" w:line="231" w:lineRule="auto"/>
        <w:rPr>
          <w:sz w:val="20"/>
          <w:szCs w:val="20"/>
          <w:color w:val="auto"/>
        </w:rPr>
      </w:pPr>
      <w:r>
        <w:rPr>
          <w:rFonts w:ascii="Times New Roman" w:cs="Times New Roman" w:eastAsia="Times New Roman" w:hAnsi="Times New Roman"/>
          <w:sz w:val="22"/>
          <w:szCs w:val="22"/>
          <w:color w:val="auto"/>
        </w:rPr>
        <w:t>working capital of SR One Fund I Aggregator is the source of the funds for the purchase of the SR One Fund I</w:t>
      </w:r>
    </w:p>
    <w:p>
      <w:pPr>
        <w:ind w:left="920"/>
        <w:spacing w:after="0"/>
        <w:rPr>
          <w:sz w:val="20"/>
          <w:szCs w:val="20"/>
          <w:color w:val="auto"/>
        </w:rPr>
      </w:pPr>
      <w:r>
        <w:rPr>
          <w:rFonts w:ascii="Times New Roman" w:cs="Times New Roman" w:eastAsia="Times New Roman" w:hAnsi="Times New Roman"/>
          <w:sz w:val="21"/>
          <w:szCs w:val="21"/>
          <w:color w:val="auto"/>
        </w:rPr>
        <w:t>Aggregator Shares. No part of the purchase price of the SR One Fund I Aggregator Shares is represented by funds or</w:t>
      </w:r>
    </w:p>
    <w:p>
      <w:pPr>
        <w:ind w:left="920"/>
        <w:spacing w:after="0" w:line="231" w:lineRule="auto"/>
        <w:rPr>
          <w:sz w:val="20"/>
          <w:szCs w:val="20"/>
          <w:color w:val="auto"/>
        </w:rPr>
      </w:pPr>
      <w:r>
        <w:rPr>
          <w:rFonts w:ascii="Times New Roman" w:cs="Times New Roman" w:eastAsia="Times New Roman" w:hAnsi="Times New Roman"/>
          <w:sz w:val="22"/>
          <w:szCs w:val="22"/>
          <w:color w:val="auto"/>
        </w:rPr>
        <w:t>other consideration borrowed or otherwise obtained for the purpose of acquiring, holding, trading or voting the SR</w:t>
      </w:r>
    </w:p>
    <w:p>
      <w:pPr>
        <w:ind w:left="920"/>
        <w:spacing w:after="0" w:line="231" w:lineRule="auto"/>
        <w:rPr>
          <w:sz w:val="20"/>
          <w:szCs w:val="20"/>
          <w:color w:val="auto"/>
        </w:rPr>
      </w:pPr>
      <w:r>
        <w:rPr>
          <w:rFonts w:ascii="Times New Roman" w:cs="Times New Roman" w:eastAsia="Times New Roman" w:hAnsi="Times New Roman"/>
          <w:sz w:val="22"/>
          <w:szCs w:val="22"/>
          <w:color w:val="auto"/>
        </w:rPr>
        <w:t>One Fund I Aggregator Shares. Prior to the Closing, SR One Co-Invest IV purchased from the Issuer in a series of</w:t>
      </w:r>
    </w:p>
    <w:p>
      <w:pPr>
        <w:ind w:left="920"/>
        <w:spacing w:after="0" w:line="231" w:lineRule="auto"/>
        <w:rPr>
          <w:sz w:val="20"/>
          <w:szCs w:val="20"/>
          <w:color w:val="auto"/>
        </w:rPr>
      </w:pPr>
      <w:r>
        <w:rPr>
          <w:rFonts w:ascii="Times New Roman" w:cs="Times New Roman" w:eastAsia="Times New Roman" w:hAnsi="Times New Roman"/>
          <w:sz w:val="22"/>
          <w:szCs w:val="22"/>
          <w:color w:val="auto"/>
        </w:rPr>
        <w:t>private transactions 1,151,580 shares of Series A Convertible Preferred Stock (the "SR One Co-Invest IV Series A</w:t>
      </w:r>
    </w:p>
    <w:p>
      <w:pPr>
        <w:ind w:left="920"/>
        <w:spacing w:after="0" w:line="230" w:lineRule="auto"/>
        <w:rPr>
          <w:sz w:val="20"/>
          <w:szCs w:val="20"/>
          <w:color w:val="auto"/>
        </w:rPr>
      </w:pPr>
      <w:r>
        <w:rPr>
          <w:rFonts w:ascii="Times New Roman" w:cs="Times New Roman" w:eastAsia="Times New Roman" w:hAnsi="Times New Roman"/>
          <w:sz w:val="22"/>
          <w:szCs w:val="22"/>
          <w:color w:val="auto"/>
        </w:rPr>
        <w:t>Preferred Stock") for an aggregate purchase price of $4,999,999.14; and 2,374,981 shares of Series B Convertible</w:t>
      </w:r>
    </w:p>
    <w:p>
      <w:pPr>
        <w:ind w:left="920"/>
        <w:spacing w:after="0" w:line="231" w:lineRule="auto"/>
        <w:rPr>
          <w:sz w:val="20"/>
          <w:szCs w:val="20"/>
          <w:color w:val="auto"/>
        </w:rPr>
      </w:pPr>
      <w:r>
        <w:rPr>
          <w:rFonts w:ascii="Times New Roman" w:cs="Times New Roman" w:eastAsia="Times New Roman" w:hAnsi="Times New Roman"/>
          <w:sz w:val="22"/>
          <w:szCs w:val="22"/>
          <w:color w:val="auto"/>
        </w:rPr>
        <w:t>Preferred Stock (the "SR One Co-Invest IV Series B Preferred Stock") for an aggregate purchase price of</w:t>
      </w:r>
    </w:p>
    <w:p>
      <w:pPr>
        <w:ind w:left="920"/>
        <w:spacing w:after="0" w:line="230" w:lineRule="auto"/>
        <w:rPr>
          <w:sz w:val="20"/>
          <w:szCs w:val="20"/>
          <w:color w:val="auto"/>
        </w:rPr>
      </w:pPr>
      <w:r>
        <w:rPr>
          <w:rFonts w:ascii="Times New Roman" w:cs="Times New Roman" w:eastAsia="Times New Roman" w:hAnsi="Times New Roman"/>
          <w:sz w:val="22"/>
          <w:szCs w:val="22"/>
          <w:color w:val="auto"/>
        </w:rPr>
        <w:t>$15,000,000.00. Immediately prior to the Closing, the SR One Co-Invest IV Series A Preferred Stock automatically</w:t>
      </w:r>
    </w:p>
    <w:p>
      <w:pPr>
        <w:ind w:left="920"/>
        <w:spacing w:after="0" w:line="231" w:lineRule="auto"/>
        <w:rPr>
          <w:sz w:val="20"/>
          <w:szCs w:val="20"/>
          <w:color w:val="auto"/>
        </w:rPr>
      </w:pPr>
      <w:r>
        <w:rPr>
          <w:rFonts w:ascii="Times New Roman" w:cs="Times New Roman" w:eastAsia="Times New Roman" w:hAnsi="Times New Roman"/>
          <w:sz w:val="22"/>
          <w:szCs w:val="22"/>
          <w:color w:val="auto"/>
        </w:rPr>
        <w:t>converted into 118,512 shares of Common Stock on a 1-for-9.7170 basis; and the SR One Co-Invest IV Series B</w:t>
      </w:r>
    </w:p>
    <w:p>
      <w:pPr>
        <w:ind w:left="920"/>
        <w:spacing w:after="0"/>
        <w:rPr>
          <w:sz w:val="20"/>
          <w:szCs w:val="20"/>
          <w:color w:val="auto"/>
        </w:rPr>
      </w:pPr>
      <w:r>
        <w:rPr>
          <w:rFonts w:ascii="Times New Roman" w:cs="Times New Roman" w:eastAsia="Times New Roman" w:hAnsi="Times New Roman"/>
          <w:sz w:val="21"/>
          <w:szCs w:val="21"/>
          <w:color w:val="auto"/>
        </w:rPr>
        <w:t>Preferred Stock automatically converted into 255,823 shares of Common Stock on a 1-for-9.2837 basis. SR One Co-</w:t>
      </w:r>
    </w:p>
    <w:p>
      <w:pPr>
        <w:ind w:left="920"/>
        <w:spacing w:after="0" w:line="231" w:lineRule="auto"/>
        <w:rPr>
          <w:sz w:val="20"/>
          <w:szCs w:val="20"/>
          <w:color w:val="auto"/>
        </w:rPr>
      </w:pPr>
      <w:r>
        <w:rPr>
          <w:rFonts w:ascii="Times New Roman" w:cs="Times New Roman" w:eastAsia="Times New Roman" w:hAnsi="Times New Roman"/>
          <w:sz w:val="22"/>
          <w:szCs w:val="22"/>
          <w:color w:val="auto"/>
        </w:rPr>
        <w:t>Invest IV now holds a total of 374,335 shares of Common Stock (the "SR One Co-Invest IV Shares"). The working</w:t>
      </w:r>
    </w:p>
    <w:p>
      <w:pPr>
        <w:ind w:left="920"/>
        <w:spacing w:after="0" w:line="231" w:lineRule="auto"/>
        <w:rPr>
          <w:sz w:val="20"/>
          <w:szCs w:val="20"/>
          <w:color w:val="auto"/>
        </w:rPr>
      </w:pPr>
      <w:r>
        <w:rPr>
          <w:rFonts w:ascii="Times New Roman" w:cs="Times New Roman" w:eastAsia="Times New Roman" w:hAnsi="Times New Roman"/>
          <w:sz w:val="22"/>
          <w:szCs w:val="22"/>
          <w:color w:val="auto"/>
        </w:rPr>
        <w:t>capital of SR One Co-Invest IV is the source of the funds for the purchase of the SR One Co-Invest IV Shares. No</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part of the purchase price of the SR One Co-Invest IV Shares is represented by funds or other consideration borrowed</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or otherwise obtained for the purpose of acquiring, holding, trading or voting the SR One Co-Invest IV Shares. Prior</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to the Closing, SR One Co-Invest IV-A purchased from the Issuer in a series of private transactions 1,899,984 shares</w:t>
      </w:r>
    </w:p>
    <w:p>
      <w:pPr>
        <w:ind w:left="920"/>
        <w:spacing w:after="0" w:line="231" w:lineRule="auto"/>
        <w:rPr>
          <w:sz w:val="20"/>
          <w:szCs w:val="20"/>
          <w:color w:val="auto"/>
        </w:rPr>
      </w:pPr>
      <w:r>
        <w:rPr>
          <w:rFonts w:ascii="Times New Roman" w:cs="Times New Roman" w:eastAsia="Times New Roman" w:hAnsi="Times New Roman"/>
          <w:sz w:val="22"/>
          <w:szCs w:val="22"/>
          <w:color w:val="auto"/>
        </w:rPr>
        <w:t>of Series B Convertible Preferred Stock (the "SR One Co-Invest IV-A Series B Preferred Stock") for an aggregate</w:t>
      </w:r>
    </w:p>
    <w:p>
      <w:pPr>
        <w:ind w:left="920"/>
        <w:spacing w:after="0" w:line="231" w:lineRule="auto"/>
        <w:rPr>
          <w:sz w:val="20"/>
          <w:szCs w:val="20"/>
          <w:color w:val="auto"/>
        </w:rPr>
      </w:pPr>
      <w:r>
        <w:rPr>
          <w:rFonts w:ascii="Times New Roman" w:cs="Times New Roman" w:eastAsia="Times New Roman" w:hAnsi="Times New Roman"/>
          <w:sz w:val="22"/>
          <w:szCs w:val="22"/>
          <w:color w:val="auto"/>
        </w:rPr>
        <w:t>purchase price of $11,999,994.95; 200,000 shares of Series C Convertible Preferred Stock (the "SR One Co-Invest</w:t>
      </w:r>
    </w:p>
    <w:p>
      <w:pPr>
        <w:ind w:left="920"/>
        <w:spacing w:after="0" w:line="231" w:lineRule="auto"/>
        <w:rPr>
          <w:sz w:val="20"/>
          <w:szCs w:val="20"/>
          <w:color w:val="auto"/>
        </w:rPr>
      </w:pPr>
      <w:r>
        <w:rPr>
          <w:rFonts w:ascii="Times New Roman" w:cs="Times New Roman" w:eastAsia="Times New Roman" w:hAnsi="Times New Roman"/>
          <w:sz w:val="22"/>
          <w:szCs w:val="22"/>
          <w:color w:val="auto"/>
        </w:rPr>
        <w:t>IV-A Series C Preferred Stock") for an aggregate purchase price of $1,000,000; and 1,614,650 shares of Series D</w:t>
      </w:r>
    </w:p>
    <w:p>
      <w:pPr>
        <w:ind w:left="920"/>
        <w:spacing w:after="0"/>
        <w:rPr>
          <w:sz w:val="20"/>
          <w:szCs w:val="20"/>
          <w:color w:val="auto"/>
        </w:rPr>
      </w:pPr>
      <w:r>
        <w:rPr>
          <w:rFonts w:ascii="Times New Roman" w:cs="Times New Roman" w:eastAsia="Times New Roman" w:hAnsi="Times New Roman"/>
          <w:sz w:val="21"/>
          <w:szCs w:val="21"/>
          <w:color w:val="auto"/>
        </w:rPr>
        <w:t>Convertible Preferred Stock (the "SR One Co-Invest IV-A Series D Preferred Stock"), along with 484,395 warrants to</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purchase shares of Common Stock (the "SR One Co-Invest IV-A Series D Warrants"), for an aggregate purchase price</w:t>
      </w:r>
    </w:p>
    <w:p>
      <w:pPr>
        <w:ind w:left="920"/>
        <w:spacing w:after="0" w:line="231" w:lineRule="auto"/>
        <w:rPr>
          <w:sz w:val="20"/>
          <w:szCs w:val="20"/>
          <w:color w:val="auto"/>
        </w:rPr>
      </w:pPr>
      <w:r>
        <w:rPr>
          <w:rFonts w:ascii="Times New Roman" w:cs="Times New Roman" w:eastAsia="Times New Roman" w:hAnsi="Times New Roman"/>
          <w:sz w:val="22"/>
          <w:szCs w:val="22"/>
          <w:color w:val="auto"/>
        </w:rPr>
        <w:t>of $2,429,999.82. Immediately prior to the Closing, the SR One Co-Invest IV-A Series B Preferred Stock</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automatically converted into 204,658 shares of Common Stock on a 1-for-9.2837 basis; the SR One Co-Invest IV-A</w:t>
      </w:r>
    </w:p>
    <w:p>
      <w:pPr>
        <w:ind w:left="920"/>
        <w:spacing w:after="0" w:line="231" w:lineRule="auto"/>
        <w:rPr>
          <w:sz w:val="20"/>
          <w:szCs w:val="20"/>
          <w:color w:val="auto"/>
        </w:rPr>
      </w:pPr>
      <w:r>
        <w:rPr>
          <w:rFonts w:ascii="Times New Roman" w:cs="Times New Roman" w:eastAsia="Times New Roman" w:hAnsi="Times New Roman"/>
          <w:sz w:val="22"/>
          <w:szCs w:val="22"/>
          <w:color w:val="auto"/>
        </w:rPr>
        <w:t>Series C Preferred Stock automatically converted into 20,582 shares of Common Stock on a 1-for-9.7170 basis; the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SR One Co-Invest IV-A Series D Preferred Stock automatically converted into 166,168 shares of Common Stock on a</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1-for-9.7170 basis; and the SR One Co-Invest IV-A Series D Warrants were automatically exercised for 49,850 shares</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of Common Stock by their terms (as adjusted for the 1-for-9.7170 reverse stock split effected in connection with the</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IPO). Pursuant to the terms of the warrants, the Issuer withheld 277 shares of Common Stock from such shares to pay</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exercise price in connection with the automatic net exercise of the SR One Co-Invest IV-A Series D Warrants. SR</w:t>
      </w:r>
    </w:p>
    <w:p>
      <w:pPr>
        <w:ind w:left="920"/>
        <w:spacing w:after="0" w:line="231" w:lineRule="auto"/>
        <w:rPr>
          <w:sz w:val="20"/>
          <w:szCs w:val="20"/>
          <w:color w:val="auto"/>
        </w:rPr>
      </w:pPr>
      <w:r>
        <w:rPr>
          <w:rFonts w:ascii="Times New Roman" w:cs="Times New Roman" w:eastAsia="Times New Roman" w:hAnsi="Times New Roman"/>
          <w:sz w:val="22"/>
          <w:szCs w:val="22"/>
          <w:color w:val="auto"/>
        </w:rPr>
        <w:t>One Co-Invest IV-A now holds a total of 574,314 shares of Common Stock (the "SR One Co-Invest IV-A Shares").</w:t>
      </w:r>
    </w:p>
    <w:p>
      <w:pPr>
        <w:ind w:left="920"/>
        <w:spacing w:after="0" w:line="231" w:lineRule="auto"/>
        <w:rPr>
          <w:sz w:val="20"/>
          <w:szCs w:val="20"/>
          <w:color w:val="auto"/>
        </w:rPr>
      </w:pPr>
      <w:r>
        <w:rPr>
          <w:rFonts w:ascii="Times New Roman" w:cs="Times New Roman" w:eastAsia="Times New Roman" w:hAnsi="Times New Roman"/>
          <w:sz w:val="22"/>
          <w:szCs w:val="22"/>
          <w:color w:val="auto"/>
        </w:rPr>
        <w:t>The working capital of SR One Co-Invest IV-A is the source of the funds for the purchase of the SR One Co-Invest</w:t>
      </w:r>
    </w:p>
    <w:p>
      <w:pPr>
        <w:ind w:left="920"/>
        <w:spacing w:after="0" w:line="231" w:lineRule="auto"/>
        <w:rPr>
          <w:sz w:val="20"/>
          <w:szCs w:val="20"/>
          <w:color w:val="auto"/>
        </w:rPr>
      </w:pPr>
      <w:r>
        <w:rPr>
          <w:rFonts w:ascii="Times New Roman" w:cs="Times New Roman" w:eastAsia="Times New Roman" w:hAnsi="Times New Roman"/>
          <w:sz w:val="22"/>
          <w:szCs w:val="22"/>
          <w:color w:val="auto"/>
        </w:rPr>
        <w:t>IV-A Shares. No part of the purchase price of the SR One Co-Invest IV-A Shares is represented by funds or other</w:t>
      </w:r>
    </w:p>
    <w:p>
      <w:pPr>
        <w:ind w:left="920"/>
        <w:spacing w:after="0"/>
        <w:rPr>
          <w:sz w:val="20"/>
          <w:szCs w:val="20"/>
          <w:color w:val="auto"/>
        </w:rPr>
      </w:pPr>
      <w:r>
        <w:rPr>
          <w:rFonts w:ascii="Times New Roman" w:cs="Times New Roman" w:eastAsia="Times New Roman" w:hAnsi="Times New Roman"/>
          <w:sz w:val="21"/>
          <w:szCs w:val="21"/>
          <w:color w:val="auto"/>
        </w:rPr>
        <w:t>consideration borrowed or otherwise obtained for the purpose of acquiring, holding, trading or voting the SR One Co-</w:t>
      </w:r>
    </w:p>
    <w:p>
      <w:pPr>
        <w:ind w:left="920"/>
        <w:spacing w:after="0" w:line="231" w:lineRule="auto"/>
        <w:rPr>
          <w:sz w:val="20"/>
          <w:szCs w:val="20"/>
          <w:color w:val="auto"/>
        </w:rPr>
      </w:pPr>
      <w:r>
        <w:rPr>
          <w:rFonts w:ascii="Times New Roman" w:cs="Times New Roman" w:eastAsia="Times New Roman" w:hAnsi="Times New Roman"/>
          <w:sz w:val="22"/>
          <w:szCs w:val="22"/>
          <w:color w:val="auto"/>
        </w:rPr>
        <w:t>Invest IV-A Shares. Prior to the Closing, AMZL purchased from the Issuer in a series of private transactions</w:t>
      </w:r>
    </w:p>
    <w:p>
      <w:pPr>
        <w:ind w:left="920"/>
        <w:spacing w:after="0" w:line="231" w:lineRule="auto"/>
        <w:rPr>
          <w:sz w:val="20"/>
          <w:szCs w:val="20"/>
          <w:color w:val="auto"/>
        </w:rPr>
      </w:pPr>
      <w:r>
        <w:rPr>
          <w:rFonts w:ascii="Times New Roman" w:cs="Times New Roman" w:eastAsia="Times New Roman" w:hAnsi="Times New Roman"/>
          <w:sz w:val="22"/>
          <w:szCs w:val="22"/>
          <w:color w:val="auto"/>
        </w:rPr>
        <w:t>4,500,000 shares of Series C Convertible Preferred Stock (the "AMZL Series C Preferred Stock") for an aggregate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purchase price of $22,500,000.00; and 2,657,860 shares of Series D Convertible Preferred Stock (the "AMZL Series</w:t>
      </w:r>
    </w:p>
    <w:p>
      <w:pPr>
        <w:ind w:left="920"/>
        <w:spacing w:after="0" w:line="231" w:lineRule="auto"/>
        <w:rPr>
          <w:sz w:val="20"/>
          <w:szCs w:val="20"/>
          <w:color w:val="auto"/>
        </w:rPr>
      </w:pPr>
      <w:r>
        <w:rPr>
          <w:rFonts w:ascii="Times New Roman" w:cs="Times New Roman" w:eastAsia="Times New Roman" w:hAnsi="Times New Roman"/>
          <w:sz w:val="22"/>
          <w:szCs w:val="22"/>
          <w:color w:val="auto"/>
        </w:rPr>
        <w:t>D Preferred Stock"), along with 764,312 warrants to purchase shares of Common Stock (the "AMZL Series 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Warrants"), for an aggregate purchase price of $3,999,999.58. Immediately prior to the Closing, the AMZL Series C</w:t>
      </w:r>
    </w:p>
    <w:p>
      <w:pPr>
        <w:ind w:left="920"/>
        <w:spacing w:after="0" w:line="231" w:lineRule="auto"/>
        <w:rPr>
          <w:sz w:val="20"/>
          <w:szCs w:val="20"/>
          <w:color w:val="auto"/>
        </w:rPr>
      </w:pPr>
      <w:r>
        <w:rPr>
          <w:rFonts w:ascii="Times New Roman" w:cs="Times New Roman" w:eastAsia="Times New Roman" w:hAnsi="Times New Roman"/>
          <w:sz w:val="22"/>
          <w:szCs w:val="22"/>
          <w:color w:val="auto"/>
        </w:rPr>
        <w:t>Preferred Stock automatically converted into 463,106 shares of Common Stock on a 1-for-9.7170 basis; the AMZL</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Series D Preferred Stock automatically converted into 273,527 shares of Common Stock on a 1-for-9.7170 basis, and</w:t>
      </w:r>
    </w:p>
    <w:p>
      <w:pPr>
        <w:ind w:left="920"/>
        <w:spacing w:after="0" w:line="231" w:lineRule="auto"/>
        <w:rPr>
          <w:sz w:val="20"/>
          <w:szCs w:val="20"/>
          <w:color w:val="auto"/>
        </w:rPr>
      </w:pPr>
      <w:r>
        <w:rPr>
          <w:rFonts w:ascii="Times New Roman" w:cs="Times New Roman" w:eastAsia="Times New Roman" w:hAnsi="Times New Roman"/>
          <w:sz w:val="22"/>
          <w:szCs w:val="22"/>
          <w:color w:val="auto"/>
        </w:rPr>
        <w:t>the AMZL Series D Warrants were automatically exercised for 78,656 shares of Common Stock by their terms (as</w:t>
      </w:r>
    </w:p>
    <w:p>
      <w:pPr>
        <w:ind w:left="920"/>
        <w:spacing w:after="0" w:line="231" w:lineRule="auto"/>
        <w:rPr>
          <w:sz w:val="20"/>
          <w:szCs w:val="20"/>
          <w:color w:val="auto"/>
        </w:rPr>
      </w:pPr>
      <w:r>
        <w:rPr>
          <w:rFonts w:ascii="Times New Roman" w:cs="Times New Roman" w:eastAsia="Times New Roman" w:hAnsi="Times New Roman"/>
          <w:sz w:val="22"/>
          <w:szCs w:val="22"/>
          <w:color w:val="auto"/>
        </w:rPr>
        <w:t>adjusted for the 1-for-9.7170 reverse stock split effected in connection with the IPO). Pursuant to the terms of the</w:t>
      </w:r>
    </w:p>
    <w:p>
      <w:pPr>
        <w:ind w:left="920"/>
        <w:spacing w:after="0" w:line="231" w:lineRule="auto"/>
        <w:rPr>
          <w:sz w:val="20"/>
          <w:szCs w:val="20"/>
          <w:color w:val="auto"/>
        </w:rPr>
      </w:pPr>
      <w:r>
        <w:rPr>
          <w:rFonts w:ascii="Times New Roman" w:cs="Times New Roman" w:eastAsia="Times New Roman" w:hAnsi="Times New Roman"/>
          <w:sz w:val="22"/>
          <w:szCs w:val="22"/>
          <w:color w:val="auto"/>
        </w:rPr>
        <w:t>warrants, the Issuer withheld 438 shares of Common Stock from such shares to pay the exercise price in connection</w:t>
      </w:r>
    </w:p>
    <w:p>
      <w:pPr>
        <w:ind w:left="920"/>
        <w:spacing w:after="0" w:line="230" w:lineRule="auto"/>
        <w:rPr>
          <w:sz w:val="20"/>
          <w:szCs w:val="20"/>
          <w:color w:val="auto"/>
        </w:rPr>
      </w:pPr>
      <w:r>
        <w:rPr>
          <w:rFonts w:ascii="Times New Roman" w:cs="Times New Roman" w:eastAsia="Times New Roman" w:hAnsi="Times New Roman"/>
          <w:sz w:val="22"/>
          <w:szCs w:val="22"/>
          <w:color w:val="auto"/>
        </w:rPr>
        <w:t>with the automatic net exercise of the AMZL Series D Warrants. AMZL now holds a total of 1,014,851 shares of</w:t>
      </w:r>
    </w:p>
    <w:p>
      <w:pPr>
        <w:ind w:left="920"/>
        <w:spacing w:after="0" w:line="231" w:lineRule="auto"/>
        <w:rPr>
          <w:sz w:val="20"/>
          <w:szCs w:val="20"/>
          <w:color w:val="auto"/>
        </w:rPr>
      </w:pPr>
      <w:r>
        <w:rPr>
          <w:rFonts w:ascii="Times New Roman" w:cs="Times New Roman" w:eastAsia="Times New Roman" w:hAnsi="Times New Roman"/>
          <w:sz w:val="22"/>
          <w:szCs w:val="22"/>
          <w:color w:val="auto"/>
        </w:rPr>
        <w:t>Common Stock (the "AMZL Shares"). The working capital of AMZL is the source of the funds for the purchase of</w:t>
      </w:r>
    </w:p>
    <w:p>
      <w:pPr>
        <w:ind w:left="920"/>
        <w:spacing w:after="0" w:line="230" w:lineRule="auto"/>
        <w:rPr>
          <w:sz w:val="20"/>
          <w:szCs w:val="20"/>
          <w:color w:val="auto"/>
        </w:rPr>
      </w:pPr>
      <w:r>
        <w:rPr>
          <w:rFonts w:ascii="Times New Roman" w:cs="Times New Roman" w:eastAsia="Times New Roman" w:hAnsi="Times New Roman"/>
          <w:sz w:val="22"/>
          <w:szCs w:val="22"/>
          <w:color w:val="auto"/>
        </w:rPr>
        <w:t>the AMZL Shares. No part of the purchase price of the AMZL Shares is represented by funds or other consideration</w:t>
      </w:r>
    </w:p>
    <w:p>
      <w:pPr>
        <w:ind w:left="920"/>
        <w:spacing w:after="0" w:line="231" w:lineRule="auto"/>
        <w:rPr>
          <w:sz w:val="20"/>
          <w:szCs w:val="20"/>
          <w:color w:val="auto"/>
        </w:rPr>
      </w:pPr>
      <w:r>
        <w:rPr>
          <w:rFonts w:ascii="Times New Roman" w:cs="Times New Roman" w:eastAsia="Times New Roman" w:hAnsi="Times New Roman"/>
          <w:sz w:val="22"/>
          <w:szCs w:val="22"/>
          <w:color w:val="auto"/>
        </w:rPr>
        <w:t>borrowed or otherwise obtained for the purpose of acquiring, holding, trading or voting the AMZL Shares.</w:t>
      </w:r>
    </w:p>
    <w:p>
      <w:pPr>
        <w:ind w:left="920"/>
        <w:spacing w:after="0"/>
        <w:rPr>
          <w:sz w:val="20"/>
          <w:szCs w:val="20"/>
          <w:color w:val="auto"/>
        </w:rPr>
      </w:pPr>
      <w:r>
        <w:rPr>
          <w:rFonts w:ascii="Times New Roman" w:cs="Times New Roman" w:eastAsia="Times New Roman" w:hAnsi="Times New Roman"/>
          <w:sz w:val="22"/>
          <w:szCs w:val="22"/>
          <w:color w:val="auto"/>
        </w:rPr>
        <w:t>Collectively, the Funds now hold a total of 3,794,883 shares of the Issuer's Common Stock (the "Fund Shares").</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47" w:lineRule="auto"/>
        <w:rPr>
          <w:sz w:val="20"/>
          <w:szCs w:val="20"/>
          <w:color w:val="auto"/>
        </w:rPr>
      </w:pPr>
      <w:r>
        <w:rPr>
          <w:rFonts w:ascii="Times New Roman" w:cs="Times New Roman" w:eastAsia="Times New Roman" w:hAnsi="Times New Roman"/>
          <w:sz w:val="21"/>
          <w:szCs w:val="21"/>
          <w:color w:val="auto"/>
        </w:rPr>
        <w:t>The Funds acquired their respective shares for investment purposes. Depending on market conditions, its continuing evaluation of the business and prospects of the Issuer and other factors, the Funds and other Reporting Persons may dispose of or acquire additional shares of the Issuer. Except as set forth above, none of the Reporting Persons has any present plans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any of its subsidiaries; (d) Any change in the present board of directors or management of the Issuer, including any plans or proposals to change the number or term of directors or to fill any existing vacancies</w:t>
      </w:r>
    </w:p>
    <w:p>
      <w:pPr>
        <w:sectPr>
          <w:pgSz w:w="11900" w:h="16838" w:orient="portrait"/>
          <w:cols w:equalWidth="0" w:num="1">
            <w:col w:w="11140"/>
          </w:cols>
          <w:pgMar w:left="360" w:top="111" w:right="399" w:bottom="0" w:gutter="0" w:footer="0" w:header="0"/>
        </w:sectPr>
      </w:pPr>
    </w:p>
    <w:bookmarkStart w:id="10" w:name="page11"/>
    <w:bookmarkEnd w:id="10"/>
    <w:p>
      <w:pPr>
        <w:ind w:left="920"/>
        <w:spacing w:after="0" w:line="235" w:lineRule="auto"/>
        <w:rPr>
          <w:sz w:val="20"/>
          <w:szCs w:val="20"/>
          <w:color w:val="auto"/>
        </w:rPr>
      </w:pPr>
      <w:r>
        <w:rPr>
          <w:rFonts w:ascii="Times New Roman" w:cs="Times New Roman" w:eastAsia="Times New Roman" w:hAnsi="Times New Roman"/>
          <w:sz w:val="22"/>
          <w:szCs w:val="22"/>
          <w:color w:val="auto"/>
        </w:rPr>
        <w:t>on the board; (e) Any material change in the present capitalization or dividend policy of the Issuer; (f) Any other material change in the Issuer's business or corporate structure; (g) Changes in the Issuer's charter, bylaws or instruments corresponding thereto or other actions which may impede the acquisition of control of the Issuer by any person; (h) Causing a class of securities of the Issuer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Securities Exchange Act of 1934; or (j) Any action similar to any of those enumerated above.</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SR One Fund I Aggregator is the record owner of the SR One Fund I Aggregator Shares. As the general partner of SR One Fund I Aggregator, SR One Partners I may be deemed to beneficially own the SR One Fund I Aggregator Shares. As the general partner of SR One Partners I, SR One Capital Management may be deemed to beneficially own the SR One Fund I Aggregator Shares. As the managing member of SR One Capital Management, Dr. George may be deemed to beneficially own the SR One Fund I Aggregator Shares. SR One Co-Invest IV is the record owner of the SR One Co-Invest IV Shares. As the managing member of SR One Co-Invest IV, SR One Co-Invest IV Manager may be deemed to beneficially own the SR One Co-Invest IV Shares. As the managing member of SR One Co-Invest IV Manager, SR One Capital Management may be deemed to beneficially own the SR One Co-Invest IV Shares. As the managing member of SR One Capital Management, Dr. George may be deemed to beneficially own the SR One Co-Invest IV Shares. SR One Co-Invest IV-A is the record owner of the SR One Co-Invest IV-A Shares. As the managing member of SR One Co-Invest IV-A, SR One Co-Invest IV Manager may be deemed to beneficially own the SR One Co-Invest IV-A Shares. As the managing member of SR One Co-Invest IV Manager, SR One</w:t>
      </w:r>
    </w:p>
    <w:p>
      <w:pPr>
        <w:spacing w:after="0" w:line="6" w:lineRule="exact"/>
        <w:rPr>
          <w:sz w:val="20"/>
          <w:szCs w:val="20"/>
          <w:color w:val="auto"/>
        </w:rPr>
      </w:pPr>
    </w:p>
    <w:p>
      <w:pPr>
        <w:ind w:left="920" w:right="20" w:hanging="912"/>
        <w:spacing w:after="0" w:line="231"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Management may be deemed to beneficially own the SR One Co-Invest IV-A Shares. As the managing member of SR One Capital Management, Dr. George may be deemed to beneficially own the SR One Co-Invest IV-A Shares. AMZL is the record owner of the AMZL Shares. As the general partner of AMZL, SMA Partners may be deemed to beneficially own the AMZL Shares. As the general partner of SMA Partners, SR One Capital Management may be deemed to beneficially own the AMZL Shares. As the managing member of SR One Capital Management, Dr. George may be deemed to beneficially own the AMZL Shares. Each Reporting Person disclaims beneficial ownership of the Fund Shares other than those shares which such person owns of record. The percentage of outstanding shares of Common Stock which may be deemed to be beneficially owned by each Reporting Person is set forth on Line 13 of such Reporting Person's cover sheet. Such percentage was calculated based on 47,174,156 shares of Common Stock reported by the Issuer to be outstanding as of May 11, 2026 (excluding the shares of Common Stock that the underwriters may purchase upon exercise of their option to purchase additional shares in full) as reported in the Issuer's prospectus dated May 7, 2026 filed with the SEC on May 8, 2026 pursuant to Rule 424(b)(4) of the Securities Act of 1933, as amended (the "Securities Act").</w:t>
      </w:r>
    </w:p>
    <w:p>
      <w:pPr>
        <w:spacing w:after="0" w:line="2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Regarding the number of shares as to which such person has: (i) sole power to vote or to direct the vote: See line 7 of</w:t>
      </w:r>
    </w:p>
    <w:p>
      <w:pPr>
        <w:spacing w:after="0" w:line="25" w:lineRule="exact"/>
        <w:rPr>
          <w:rFonts w:ascii="Times New Roman" w:cs="Times New Roman" w:eastAsia="Times New Roman" w:hAnsi="Times New Roman"/>
          <w:sz w:val="22"/>
          <w:szCs w:val="22"/>
          <w:color w:val="auto"/>
        </w:rPr>
      </w:pPr>
    </w:p>
    <w:p>
      <w:pPr>
        <w:ind w:left="920" w:hanging="912"/>
        <w:spacing w:after="0" w:line="181" w:lineRule="auto"/>
        <w:tabs>
          <w:tab w:leader="none" w:pos="920" w:val="left"/>
        </w:tabs>
        <w:numPr>
          <w:ilvl w:val="0"/>
          <w:numId w:val="12"/>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cover sheets (ii) shared power to vote or to direct the vote: See line 8 of cover sheets (iii) sole power to dispose or to</w:t>
      </w:r>
    </w:p>
    <w:p>
      <w:pPr>
        <w:ind w:left="920" w:right="180"/>
        <w:spacing w:after="0" w:line="237"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direct the disposition: See line 9 of cover sheets (iv) shared power to dispose or to direct the disposition: See line 10 of cover sheets.</w:t>
      </w:r>
    </w:p>
    <w:p>
      <w:pPr>
        <w:spacing w:after="0" w:line="16" w:lineRule="exact"/>
        <w:rPr>
          <w:rFonts w:ascii="Times New Roman" w:cs="Times New Roman" w:eastAsia="Times New Roman" w:hAnsi="Times New Roman"/>
          <w:sz w:val="28"/>
          <w:szCs w:val="28"/>
          <w:color w:val="auto"/>
          <w:vertAlign w:val="subscript"/>
        </w:rPr>
      </w:pPr>
    </w:p>
    <w:p>
      <w:pPr>
        <w:ind w:left="920" w:right="12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Item 3 above, none of the Reporting Persons has effected any transaction in shares of Common Stock during the last 60 days.</w:t>
      </w:r>
    </w:p>
    <w:p>
      <w:pPr>
        <w:spacing w:after="0" w:line="17" w:lineRule="exact"/>
        <w:rPr>
          <w:rFonts w:ascii="Times New Roman" w:cs="Times New Roman" w:eastAsia="Times New Roman" w:hAnsi="Times New Roman"/>
          <w:sz w:val="39"/>
          <w:szCs w:val="39"/>
          <w:color w:val="auto"/>
          <w:vertAlign w:val="subscript"/>
        </w:rPr>
      </w:pPr>
    </w:p>
    <w:p>
      <w:pPr>
        <w:ind w:left="920" w:right="48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other person is known to have the right to receive or the power to direct the receipt of dividends from, or any proceeds from the sale of, Common Stock beneficially owned by any of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Each Fund is party to the Third Amended and Restated Investors' Rights Agreement with the Issuer and certain other stockholders (the "Investors' Rights Agreement"). The Investors' Rights Agreement grants the parties thereto, including the Funds, certain registration rights in respect of registrable securities. The registration of shares of the Issuer's Common Stock pursuant to the exercise of these registration rights will enable the holders thereof to sell such shares without restriction under the Securities Act when the applicable registration statement is declared effective. Under the Investors' Rights Agreement, the Issuer will pay all registration expenses and the holders will pay all underwriting discounts and selling commissions relating to the sale of their shares. The Investors' Rights Agreement also includes customary indemnification and procedural terms. These registration rights will expire no later than five years after the consummation of the IPO, or with respect to any particular holder, at such time that such holder can sell its shares under Rule 144 without limitation during any three-month period. The Investors' Rights Agreement provides that at any time beginning after the earlier of (i) five years after the date of the Investors' Rights Agreement and (ii) 180 days after May 11, 2026, the holders of a majority of the registrable securities then outstanding may request that the Issuer register all or a portion of their shares by filing a registration statement on Form S-1, provided that such request for registration covers at least 40% of the registrable securities then outstanding with an anticipated aggregate offering price of at least $10 million, net of applicable selling expenses. Once the Issuer is eligible to use a registration statement on Form S-3, the holders of at least 25% of the registrable securities then outstanding may request that the Issuer register their shares on Form S-3 if such holders hold registrable securities in an anticipated aggregate offering amount of at least $5 million, net of applicable selling expenses. Further, the Investors' Rights Agreement provides that in the event the Issuer proposes to register any of its securities under the Securities Act, either for its own account or for the account of other security holders, certain holders of registrable securities will be entitled to "piggyback" registration rights allowing such holders to include their shares in such registration, subject to certain marketing and other limitations. In addition, each Fund entered into a lock-up agreement in connection with the IPO whereby each Fund has agreed, subject to certain exceptions, that without the prior written consent of J.P.</w:t>
      </w:r>
    </w:p>
    <w:p>
      <w:pPr>
        <w:sectPr>
          <w:pgSz w:w="11900" w:h="16838" w:orient="portrait"/>
          <w:cols w:equalWidth="0" w:num="1">
            <w:col w:w="11140"/>
          </w:cols>
          <w:pgMar w:left="360" w:top="112" w:right="399" w:bottom="0" w:gutter="0" w:footer="0" w:header="0"/>
        </w:sectPr>
      </w:pPr>
    </w:p>
    <w:bookmarkStart w:id="11" w:name="page12"/>
    <w:bookmarkEnd w:id="11"/>
    <w:p>
      <w:pPr>
        <w:spacing w:after="0" w:line="22"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Morgan Securities LLC, TD Securities (USA) LLC and Cantor Fitzgerald &amp; Co., that for a period of 180 days after May 7, 2026, it will not (i) offer, sell, contract to sell, pledge, grant any option, right or warrant to purchase, purchase any option or contract to sell, lend or otherwise transfer or dispose of any shares of Common Stock, or any options or warrants to purchase any shares of Common Stock, or any securities convertible into, exchangeable for or that represent the right to receive shares of Common Stock, including without limitation any such securities owned or later acquired,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Fund or someone other than the Fund), or transfer of any of the economic consequences of ownership, in whole or in part, directly or indirectly, of any such securities, whether any such transaction or arrangement (or instrument provided for thereunder) would be settled by delivery of Common Stock or other securities, in cash or otherwise, (iii) make any demand for or exercise any right with respect to the registration of any such securities or (iv) otherwise publicly announce any intention to engage in or cause any action, activity, transaction or arrangement described in clause (i), (ii) or (iii) above.</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80"/>
        <w:spacing w:after="0" w:line="258" w:lineRule="auto"/>
        <w:rPr>
          <w:sz w:val="20"/>
          <w:szCs w:val="20"/>
          <w:color w:val="auto"/>
        </w:rPr>
      </w:pPr>
      <w:r>
        <w:rPr>
          <w:rFonts w:ascii="Times New Roman" w:cs="Times New Roman" w:eastAsia="Times New Roman" w:hAnsi="Times New Roman"/>
          <w:sz w:val="22"/>
          <w:szCs w:val="22"/>
          <w:color w:val="auto"/>
        </w:rPr>
        <w:t>Exhibit 1 - Agreement regarding filing of joint Schedule 13D. Exhibit 2 - Power of Attorney regarding filings under the Securities Exchange Act of 1934, as amended.</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SR One Capital Management,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Sasha Keough</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Sasha Keough, as attorney-in-fact for Simeon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George, M.D., 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SR One Capital Fund I Aggregator,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Sasha Keough</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Sasha Keough, as attorney-in-fact for Simeon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George, M.D., 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SR One Capital Partners 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Sasha Keough</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Sasha Keough, as attorney-in-fact for Simeon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George, M.D., 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SR One Co-Invest IV,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Sasha Keough</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Sasha Keough, as attorney-in-fact for Simeon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George, M.D., 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SR One Co-Invest IV-A,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Sasha Keough</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Sasha Keough, as attorney-in-fact for Simeon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George, M.D., 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SR One Co-Invest IV Manager,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Sasha Keough</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Sasha Keough, as attorney-in-fact for Simeon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George, M.D., 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AMZL,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Sasha Keough</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Sasha Keough, as attorney-in-fact for Simeon</w:t>
      </w:r>
    </w:p>
    <w:p>
      <w:pPr>
        <w:sectPr>
          <w:pgSz w:w="11900" w:h="16860" w:orient="portrait"/>
          <w:cols w:equalWidth="0" w:num="1">
            <w:col w:w="11140"/>
          </w:cols>
          <w:pgMar w:left="360" w:top="112" w:right="399" w:bottom="0" w:gutter="0" w:footer="0" w:header="0"/>
        </w:sectPr>
      </w:pPr>
    </w:p>
    <w:bookmarkStart w:id="12" w:name="page13"/>
    <w:bookmarkEnd w:id="12"/>
    <w:tbl>
      <w:tblPr>
        <w:tblLayout w:type="fixed"/>
        <w:tblInd w:w="1540" w:type="dxa"/>
        <w:tblCellMar>
          <w:top w:w="0" w:type="dxa"/>
          <w:left w:w="0" w:type="dxa"/>
          <w:bottom w:w="0" w:type="dxa"/>
          <w:right w:w="0" w:type="dxa"/>
        </w:tblCellMar>
      </w:tblPr>
      <w:tr>
        <w:trPr>
          <w:trHeight w:val="283"/>
        </w:trPr>
        <w:tc>
          <w:tcPr>
            <w:tcW w:w="518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George, M.D., Managing Member</w:t>
            </w:r>
          </w:p>
        </w:tc>
        <w:tc>
          <w:tcPr>
            <w:tcW w:w="0" w:type="dxa"/>
            <w:vAlign w:val="bottom"/>
          </w:tcPr>
          <w:p>
            <w:pPr>
              <w:spacing w:after="0"/>
              <w:rPr>
                <w:sz w:val="1"/>
                <w:szCs w:val="1"/>
                <w:color w:val="auto"/>
              </w:rPr>
            </w:pPr>
          </w:p>
        </w:tc>
      </w:tr>
      <w:tr>
        <w:trPr>
          <w:trHeight w:val="297"/>
        </w:trPr>
        <w:tc>
          <w:tcPr>
            <w:tcW w:w="5180" w:type="dxa"/>
            <w:vAlign w:val="bottom"/>
          </w:tcPr>
          <w:p>
            <w:pPr>
              <w:ind w:left="4120"/>
              <w:spacing w:after="0"/>
              <w:rPr>
                <w:sz w:val="20"/>
                <w:szCs w:val="20"/>
                <w:color w:val="auto"/>
              </w:rPr>
            </w:pPr>
            <w:r>
              <w:rPr>
                <w:rFonts w:ascii="Times New Roman" w:cs="Times New Roman" w:eastAsia="Times New Roman" w:hAnsi="Times New Roman"/>
                <w:sz w:val="22"/>
                <w:szCs w:val="22"/>
                <w:color w:val="auto"/>
              </w:rPr>
              <w:t>Date:</w:t>
            </w:r>
          </w:p>
        </w:tc>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05/18/2026</w:t>
            </w:r>
          </w:p>
        </w:tc>
        <w:tc>
          <w:tcPr>
            <w:tcW w:w="0" w:type="dxa"/>
            <w:vAlign w:val="bottom"/>
          </w:tcPr>
          <w:p>
            <w:pPr>
              <w:spacing w:after="0"/>
              <w:rPr>
                <w:sz w:val="1"/>
                <w:szCs w:val="1"/>
                <w:color w:val="auto"/>
              </w:rPr>
            </w:pPr>
          </w:p>
        </w:tc>
      </w:tr>
      <w:tr>
        <w:trPr>
          <w:trHeight w:val="405"/>
        </w:trPr>
        <w:tc>
          <w:tcPr>
            <w:tcW w:w="518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SR One Capital SMA Partners, LP</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180" w:type="dxa"/>
            <w:vAlign w:val="bottom"/>
          </w:tcPr>
          <w:p>
            <w:pPr>
              <w:ind w:left="4120"/>
              <w:spacing w:after="0"/>
              <w:rPr>
                <w:sz w:val="20"/>
                <w:szCs w:val="20"/>
                <w:color w:val="auto"/>
              </w:rPr>
            </w:pPr>
            <w:r>
              <w:rPr>
                <w:rFonts w:ascii="Times New Roman" w:cs="Times New Roman" w:eastAsia="Times New Roman" w:hAnsi="Times New Roman"/>
                <w:sz w:val="22"/>
                <w:szCs w:val="22"/>
                <w:color w:val="auto"/>
              </w:rPr>
              <w:t>Signature:</w:t>
            </w:r>
          </w:p>
        </w:tc>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Sasha Keough</w:t>
            </w:r>
          </w:p>
        </w:tc>
        <w:tc>
          <w:tcPr>
            <w:tcW w:w="0" w:type="dxa"/>
            <w:vAlign w:val="bottom"/>
          </w:tcPr>
          <w:p>
            <w:pPr>
              <w:spacing w:after="0"/>
              <w:rPr>
                <w:sz w:val="1"/>
                <w:szCs w:val="1"/>
                <w:color w:val="auto"/>
              </w:rPr>
            </w:pPr>
          </w:p>
        </w:tc>
      </w:tr>
      <w:tr>
        <w:trPr>
          <w:trHeight w:val="258"/>
        </w:trPr>
        <w:tc>
          <w:tcPr>
            <w:tcW w:w="5180" w:type="dxa"/>
            <w:vAlign w:val="bottom"/>
            <w:vMerge w:val="restart"/>
          </w:tcPr>
          <w:p>
            <w:pPr>
              <w:ind w:left="4120"/>
              <w:spacing w:after="0"/>
              <w:rPr>
                <w:sz w:val="20"/>
                <w:szCs w:val="20"/>
                <w:color w:val="auto"/>
              </w:rPr>
            </w:pPr>
            <w:r>
              <w:rPr>
                <w:rFonts w:ascii="Times New Roman" w:cs="Times New Roman" w:eastAsia="Times New Roman" w:hAnsi="Times New Roman"/>
                <w:sz w:val="22"/>
                <w:szCs w:val="22"/>
                <w:color w:val="auto"/>
                <w:w w:val="97"/>
              </w:rPr>
              <w:t>Name/Title:</w:t>
            </w:r>
          </w:p>
        </w:tc>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Sasha Keough, as attorney-in-fact for Simeon</w:t>
            </w:r>
          </w:p>
        </w:tc>
        <w:tc>
          <w:tcPr>
            <w:tcW w:w="0" w:type="dxa"/>
            <w:vAlign w:val="bottom"/>
          </w:tcPr>
          <w:p>
            <w:pPr>
              <w:spacing w:after="0"/>
              <w:rPr>
                <w:sz w:val="1"/>
                <w:szCs w:val="1"/>
                <w:color w:val="auto"/>
              </w:rPr>
            </w:pPr>
          </w:p>
        </w:tc>
      </w:tr>
      <w:tr>
        <w:trPr>
          <w:trHeight w:val="282"/>
        </w:trPr>
        <w:tc>
          <w:tcPr>
            <w:tcW w:w="5180" w:type="dxa"/>
            <w:vAlign w:val="bottom"/>
            <w:vMerge w:val="continue"/>
          </w:tcPr>
          <w:p>
            <w:pPr>
              <w:spacing w:after="0"/>
              <w:rPr>
                <w:sz w:val="24"/>
                <w:szCs w:val="24"/>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George, M.D., Managing Member</w:t>
            </w:r>
          </w:p>
        </w:tc>
        <w:tc>
          <w:tcPr>
            <w:tcW w:w="0" w:type="dxa"/>
            <w:vAlign w:val="bottom"/>
          </w:tcPr>
          <w:p>
            <w:pPr>
              <w:spacing w:after="0"/>
              <w:rPr>
                <w:sz w:val="1"/>
                <w:szCs w:val="1"/>
                <w:color w:val="auto"/>
              </w:rPr>
            </w:pPr>
          </w:p>
        </w:tc>
      </w:tr>
      <w:tr>
        <w:trPr>
          <w:trHeight w:val="297"/>
        </w:trPr>
        <w:tc>
          <w:tcPr>
            <w:tcW w:w="5180" w:type="dxa"/>
            <w:vAlign w:val="bottom"/>
          </w:tcPr>
          <w:p>
            <w:pPr>
              <w:ind w:left="4120"/>
              <w:spacing w:after="0"/>
              <w:rPr>
                <w:sz w:val="20"/>
                <w:szCs w:val="20"/>
                <w:color w:val="auto"/>
              </w:rPr>
            </w:pPr>
            <w:r>
              <w:rPr>
                <w:rFonts w:ascii="Times New Roman" w:cs="Times New Roman" w:eastAsia="Times New Roman" w:hAnsi="Times New Roman"/>
                <w:sz w:val="22"/>
                <w:szCs w:val="22"/>
                <w:color w:val="auto"/>
              </w:rPr>
              <w:t>Date:</w:t>
            </w:r>
          </w:p>
        </w:tc>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05/18/2026</w:t>
            </w:r>
          </w:p>
        </w:tc>
        <w:tc>
          <w:tcPr>
            <w:tcW w:w="0" w:type="dxa"/>
            <w:vAlign w:val="bottom"/>
          </w:tcPr>
          <w:p>
            <w:pPr>
              <w:spacing w:after="0"/>
              <w:rPr>
                <w:sz w:val="1"/>
                <w:szCs w:val="1"/>
                <w:color w:val="auto"/>
              </w:rPr>
            </w:pPr>
          </w:p>
        </w:tc>
      </w:tr>
      <w:tr>
        <w:trPr>
          <w:trHeight w:val="405"/>
        </w:trPr>
        <w:tc>
          <w:tcPr>
            <w:tcW w:w="5180" w:type="dxa"/>
            <w:vAlign w:val="bottom"/>
          </w:tcPr>
          <w:p>
            <w:pPr>
              <w:spacing w:after="0"/>
              <w:rPr>
                <w:sz w:val="20"/>
                <w:szCs w:val="20"/>
                <w:color w:val="auto"/>
              </w:rPr>
            </w:pPr>
            <w:r>
              <w:rPr>
                <w:rFonts w:ascii="Times New Roman" w:cs="Times New Roman" w:eastAsia="Times New Roman" w:hAnsi="Times New Roman"/>
                <w:sz w:val="22"/>
                <w:szCs w:val="22"/>
                <w:color w:val="auto"/>
              </w:rPr>
              <w:t>Simeon George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180" w:type="dxa"/>
            <w:vAlign w:val="bottom"/>
          </w:tcPr>
          <w:p>
            <w:pPr>
              <w:ind w:left="4120"/>
              <w:spacing w:after="0"/>
              <w:rPr>
                <w:sz w:val="20"/>
                <w:szCs w:val="20"/>
                <w:color w:val="auto"/>
              </w:rPr>
            </w:pPr>
            <w:r>
              <w:rPr>
                <w:rFonts w:ascii="Times New Roman" w:cs="Times New Roman" w:eastAsia="Times New Roman" w:hAnsi="Times New Roman"/>
                <w:sz w:val="22"/>
                <w:szCs w:val="22"/>
                <w:color w:val="auto"/>
              </w:rPr>
              <w:t>Signature:</w:t>
            </w:r>
          </w:p>
        </w:tc>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Sasha Keough</w:t>
            </w:r>
          </w:p>
        </w:tc>
        <w:tc>
          <w:tcPr>
            <w:tcW w:w="0" w:type="dxa"/>
            <w:vAlign w:val="bottom"/>
          </w:tcPr>
          <w:p>
            <w:pPr>
              <w:spacing w:after="0"/>
              <w:rPr>
                <w:sz w:val="1"/>
                <w:szCs w:val="1"/>
                <w:color w:val="auto"/>
              </w:rPr>
            </w:pPr>
          </w:p>
        </w:tc>
      </w:tr>
      <w:tr>
        <w:trPr>
          <w:trHeight w:val="258"/>
        </w:trPr>
        <w:tc>
          <w:tcPr>
            <w:tcW w:w="5180" w:type="dxa"/>
            <w:vAlign w:val="bottom"/>
            <w:vMerge w:val="restart"/>
          </w:tcPr>
          <w:p>
            <w:pPr>
              <w:ind w:left="4120"/>
              <w:spacing w:after="0"/>
              <w:rPr>
                <w:sz w:val="20"/>
                <w:szCs w:val="20"/>
                <w:color w:val="auto"/>
              </w:rPr>
            </w:pPr>
            <w:r>
              <w:rPr>
                <w:rFonts w:ascii="Times New Roman" w:cs="Times New Roman" w:eastAsia="Times New Roman" w:hAnsi="Times New Roman"/>
                <w:sz w:val="22"/>
                <w:szCs w:val="22"/>
                <w:color w:val="auto"/>
                <w:w w:val="97"/>
              </w:rPr>
              <w:t>Name/Title:</w:t>
            </w:r>
          </w:p>
        </w:tc>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Sasha Keough, as attorney-in-fact for Simeon</w:t>
            </w:r>
          </w:p>
        </w:tc>
        <w:tc>
          <w:tcPr>
            <w:tcW w:w="0" w:type="dxa"/>
            <w:vAlign w:val="bottom"/>
          </w:tcPr>
          <w:p>
            <w:pPr>
              <w:spacing w:after="0"/>
              <w:rPr>
                <w:sz w:val="1"/>
                <w:szCs w:val="1"/>
                <w:color w:val="auto"/>
              </w:rPr>
            </w:pPr>
          </w:p>
        </w:tc>
      </w:tr>
      <w:tr>
        <w:trPr>
          <w:trHeight w:val="282"/>
        </w:trPr>
        <w:tc>
          <w:tcPr>
            <w:tcW w:w="5180" w:type="dxa"/>
            <w:vAlign w:val="bottom"/>
            <w:vMerge w:val="continue"/>
          </w:tcPr>
          <w:p>
            <w:pPr>
              <w:spacing w:after="0"/>
              <w:rPr>
                <w:sz w:val="24"/>
                <w:szCs w:val="24"/>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George, M.D.</w:t>
            </w:r>
          </w:p>
        </w:tc>
        <w:tc>
          <w:tcPr>
            <w:tcW w:w="0" w:type="dxa"/>
            <w:vAlign w:val="bottom"/>
          </w:tcPr>
          <w:p>
            <w:pPr>
              <w:spacing w:after="0"/>
              <w:rPr>
                <w:sz w:val="1"/>
                <w:szCs w:val="1"/>
                <w:color w:val="auto"/>
              </w:rPr>
            </w:pPr>
          </w:p>
        </w:tc>
      </w:tr>
      <w:tr>
        <w:trPr>
          <w:trHeight w:val="297"/>
        </w:trPr>
        <w:tc>
          <w:tcPr>
            <w:tcW w:w="5180" w:type="dxa"/>
            <w:vAlign w:val="bottom"/>
          </w:tcPr>
          <w:p>
            <w:pPr>
              <w:ind w:left="4120"/>
              <w:spacing w:after="0"/>
              <w:rPr>
                <w:sz w:val="20"/>
                <w:szCs w:val="20"/>
                <w:color w:val="auto"/>
              </w:rPr>
            </w:pPr>
            <w:r>
              <w:rPr>
                <w:rFonts w:ascii="Times New Roman" w:cs="Times New Roman" w:eastAsia="Times New Roman" w:hAnsi="Times New Roman"/>
                <w:sz w:val="22"/>
                <w:szCs w:val="22"/>
                <w:color w:val="auto"/>
              </w:rPr>
              <w:t>Date:</w:t>
            </w:r>
          </w:p>
        </w:tc>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05/18/2026</w:t>
            </w: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1900" w:h="16838" w:orient="portrait"/>
          <w:cols w:equalWidth="0" w:num="1">
            <w:col w:w="11160"/>
          </w:cols>
          <w:pgMar w:left="360" w:top="112" w:right="379" w:bottom="1440" w:gutter="0" w:footer="0" w:header="0"/>
        </w:sectPr>
      </w:pPr>
    </w:p>
    <w:p>
      <w:pPr>
        <w:spacing w:after="0" w:line="4"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22"/>
          <w:szCs w:val="22"/>
          <w:color w:val="auto"/>
        </w:rPr>
        <w:t>This Statement was executed by Sasha Keough on behalf of the individuals listed above pursuant to a Power of Attorney, a copy of which is attached as Exhibit 2.</w:t>
      </w:r>
    </w:p>
    <w:p>
      <w:pPr>
        <w:sectPr>
          <w:pgSz w:w="11900" w:h="16838" w:orient="portrait"/>
          <w:cols w:equalWidth="0" w:num="2">
            <w:col w:w="1320" w:space="720"/>
            <w:col w:w="9120"/>
          </w:cols>
          <w:pgMar w:left="360" w:top="112" w:right="379" w:bottom="1440" w:gutter="0" w:footer="0" w:header="0"/>
          <w:type w:val="continuous"/>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Pursuant to Rule 13d-1(k)(1) under the Securities Exchange Act of 1934, the undersigned hereby agree that only one statement containing the information required by Schedule 13D need be filed with respect to the ownership by each of the undersigned of shares of stock of Odyssey Therapeutics,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this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May, 2026.</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ONE CAPITAL MANAGEMENT, LLC</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Simeon George, M.D.</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ONE CAPITAL FUND I AGGREGATOR, LP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SR ONE CAPITAL PARTNERS I, LP</w:t>
      </w:r>
    </w:p>
    <w:p>
      <w:pPr>
        <w:spacing w:after="0" w:line="225"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SR ONE CAPITAL MANAGEMENT, LLC</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                          </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Simeon George, M.D.</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ONE CAPITAL PARTNERS I, LP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SR ONE CAPITAL MANAGEMENT, LLC</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Simeon George, M.D.</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ONE CO-INVEST IV, LLC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SR ONE CO-INVEST IV MANAGER, LLC</w:t>
      </w:r>
    </w:p>
    <w:p>
      <w:pPr>
        <w:spacing w:after="0" w:line="225"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SR ONE CAPITAL MANAGEMENT, LLC</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                          </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Simeon George, M.D.</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ONE CO-INVEST IV-A, LLC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SR ONE CO-INVEST IV MANAGER, LLC</w:t>
      </w:r>
    </w:p>
    <w:p>
      <w:pPr>
        <w:spacing w:after="0" w:line="225"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SR ONE CAPITAL MANAGEMENT, LLC</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                          </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Simeon George, M.D.</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SR ONE CO-INVEST IV MANAGER, LLC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SR ONE CAPITAL MANAGEMENT, LLC</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Simeon George, M.D.</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AMZL, LP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SR ONE CAPITAL SMA PARTNERS, LP</w:t>
      </w:r>
    </w:p>
    <w:p>
      <w:pPr>
        <w:spacing w:after="0" w:line="225"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SR ONE CAPITAL MANAGEMENT, LLC</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                          </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Simeon George, M.D.</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ONE CAPITAL SMA PARTNERS, LP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SR ONE CAPITAL MANAGEMENT, LLC</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Simeon George, M.D.</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Simeon George,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u w:val="single" w:color="auto"/>
          <w:color w:val="auto"/>
        </w:rPr>
        <w:t>*/s/ Sasha Keough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Sasha Keough</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Agreement relating to Schedule 13D was executed by Sasha Keough on behalf of the individuals listed above pursuant to a Power of Attorney, a copy of which is attached hereto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69" w:right="41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u w:val="single" w:color="auto"/>
          <w:color w:val="auto"/>
        </w:rPr>
        <w:t>LIMITED POWER OF ATTORNEY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Sasha Keough, Karen Narolewski-Engel, James Macadam, and Alexander M. Bowling, and each of them singly, as each of the undersigned’s true and lawful attorneys-in-fact with full power and authority as hereinafter described to:</w:t>
      </w:r>
    </w:p>
    <w:p>
      <w:pPr>
        <w:spacing w:after="0" w:line="176" w:lineRule="exact"/>
        <w:rPr>
          <w:sz w:val="20"/>
          <w:szCs w:val="20"/>
          <w:color w:val="auto"/>
        </w:rPr>
      </w:pPr>
    </w:p>
    <w:p>
      <w:pPr>
        <w:jc w:val="both"/>
        <w:ind w:left="660" w:firstLine="644"/>
        <w:spacing w:after="0" w:line="258" w:lineRule="auto"/>
        <w:tabs>
          <w:tab w:leader="none" w:pos="20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each of the undersigned individual and entities (each, a “Filer” and collectively, the “Filers”) (i) Forms 3, 4, and 5 (including amendments thereto) in accordance with Section 16(a) of the Securities Exchange Act of 1934, as amended (the “Exchange Act”), and the rules thereunder, (ii) Form 144 in accordance with Rule 144 under the Securities Act of 1933, as amended (the “Securities Act”), and (iii) Schedules 13D and 13G (including amendments thereto) in accordance with Sections 13(d) and 13(g) of the Exchange Act and the rules thereunder;</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each of the Filers which may be necessary or desirable to complete and execute any such Form 3, 4, or 5 (including amendments thereto), Form 144, or Schedule 13D or 13G (including amendments thereto) and timely file such form with the United States Securities and Exchange Commission (the “SEC”) and any stock exchange or similar authority, including, but not limited to, executing a Form ID or Update Passphrase request for and on behalf of each of the undersigned and filing such applications with the SEC; and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a Filer, it being understood that the documents executed by such attorney-in-fact on behalf of such Filer pursuant to this Limited Power of Attorney shall be in such form and shall contain such terms and conditions as such attorney-in-fact may approve in such attorney-in-fact’s discretion.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of the Filers hereby grants to each attorney-in-fact full power and authority to do and perform any and every act and thing whatsoever requisite, necessary, or proper to be done in the exercise of any of the rights and powers herein granted, as fully to all intents and purposes a Filer might or could do if personally present, with full power of substitution or revocation, hereby ratifying and confirming all the acts such attorney-in-fact, or such attorney-in-fact’s substitute or substitutes, shall lawfully do or cause to be done by virtue of this Limited Power of Attorney and the rights and powers herein granted. Each of the Filers acknowledges that each of the foregoing attorneys-in-fact, in serving in such capacity at the request of such Filer, is not assuming any of such Filer’s responsibilities to comply with Sections 13 or 16 of the Exchange Act or Rule 144 under the Securities Act.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Limited Power of Attorney shall remain in full force and effect until a Filer is no longer required to file Forms 3, 4, and 5 (including amendments thereto), Form 144, and Schedules 13D and 13G (including amendments thereto) with respect to such Filer’s holdings of and transactions in securities, unless earlier revoked by such Filer in a signed writing delivered to each of the foregoing attorneys-in-fact. In addition, at such time as any attorney-in-fact resigns as attorney-in-fact by the execution of a written resignation delivered to each Filer, without any action on the part of the Filers, this Limited Power of Attorney shall be partially revoked solely with respect to such individual; such individual shall cease to be an attorney-in-fact under this Limited Power of Attorney; and the authority of the other attorneys-in-fact then existing hereunder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7"/>
          <w:szCs w:val="17"/>
          <w:color w:val="auto"/>
        </w:rPr>
        <w:t>IN WITNESS WHEREOF, each of the undersigned has caused this Limited Power of Attorney to be executed as of this 12th day of December,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Simeon George                                                  </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Simeon George (Individually)</w:t>
      </w:r>
    </w:p>
    <w:p>
      <w:pPr>
        <w:spacing w:after="0" w:line="200" w:lineRule="exact"/>
        <w:rPr>
          <w:sz w:val="20"/>
          <w:szCs w:val="20"/>
          <w:color w:val="auto"/>
        </w:rPr>
      </w:pPr>
    </w:p>
    <w:p>
      <w:pPr>
        <w:spacing w:after="0" w:line="3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SR One Capital Management, LLC,  </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3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     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SR One Capital Fund I Aggregator, LP,</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SR One Capital Partners I, LP,</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3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SR One Capital Partners I, LP,</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3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991870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904" w:right="619" w:bottom="1440" w:gutter="0" w:footer="0" w:header="0"/>
        </w:sectPr>
      </w:pPr>
    </w:p>
    <w:bookmarkStart w:id="17" w:name="page18"/>
    <w:bookmarkEnd w:id="17"/>
    <w:p>
      <w:pPr>
        <w:ind w:left="2780"/>
        <w:spacing w:after="0"/>
        <w:rPr>
          <w:sz w:val="20"/>
          <w:szCs w:val="20"/>
          <w:color w:val="auto"/>
        </w:rPr>
      </w:pPr>
      <w:r>
        <w:rPr>
          <w:rFonts w:ascii="Times New Roman" w:cs="Times New Roman" w:eastAsia="Times New Roman" w:hAnsi="Times New Roman"/>
          <w:sz w:val="18"/>
          <w:szCs w:val="18"/>
          <w:b w:val="1"/>
          <w:bCs w:val="1"/>
          <w:color w:val="auto"/>
        </w:rPr>
        <w:t>SR One Capital Fund II Aggregator, LP,</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Partners II, LP,</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Capital Partners II, LP,</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Capital Opportunities Fund I, LP,</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color w:val="auto"/>
        </w:rPr>
        <w:t>By:      SR One Capital Opportunities Partners I, LP,</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1129030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18" w:name="page19"/>
    <w:bookmarkEnd w:id="18"/>
    <w:p>
      <w:pPr>
        <w:ind w:left="2780"/>
        <w:spacing w:after="0"/>
        <w:rPr>
          <w:sz w:val="20"/>
          <w:szCs w:val="20"/>
          <w:color w:val="auto"/>
        </w:rPr>
      </w:pPr>
      <w:r>
        <w:rPr>
          <w:rFonts w:ascii="Times New Roman" w:cs="Times New Roman" w:eastAsia="Times New Roman" w:hAnsi="Times New Roman"/>
          <w:sz w:val="17"/>
          <w:szCs w:val="17"/>
          <w:b w:val="1"/>
          <w:bCs w:val="1"/>
          <w:color w:val="auto"/>
        </w:rPr>
        <w:t>SR One Capital Opportunities Partners I, LP,</w:t>
      </w:r>
    </w:p>
    <w:p>
      <w:pPr>
        <w:spacing w:after="0" w:line="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Co-Invest I Manager,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1129030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9" w:name="page20"/>
    <w:bookmarkEnd w:id="19"/>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II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II,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Co-Invest II Manager,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III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991870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0" w:name="page21"/>
    <w:bookmarkEnd w:id="20"/>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III,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SR One Co-Invest III Manager, LLC,</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IV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IV,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7"/>
          <w:szCs w:val="17"/>
          <w:color w:val="auto"/>
        </w:rPr>
        <w:t>By:      SR One Co-Invest IV Manager, LLC,</w:t>
      </w:r>
    </w:p>
    <w:p>
      <w:pPr>
        <w:spacing w:after="0" w:line="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991870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21" w:name="page22"/>
    <w:bookmarkEnd w:id="21"/>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IV-A,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7"/>
          <w:szCs w:val="17"/>
          <w:color w:val="auto"/>
        </w:rPr>
        <w:t>By:      SR One Co-Invest IV Manager, LLC,</w:t>
      </w:r>
    </w:p>
    <w:p>
      <w:pPr>
        <w:spacing w:after="0" w:line="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V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V,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Co-Invest V Manager,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854710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22" w:name="page23"/>
    <w:bookmarkEnd w:id="22"/>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VI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VI,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7"/>
          <w:szCs w:val="17"/>
          <w:color w:val="auto"/>
        </w:rPr>
        <w:t>By:      SR One Co-Invest VI Manager, LLC,</w:t>
      </w:r>
    </w:p>
    <w:p>
      <w:pPr>
        <w:spacing w:after="0" w:line="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VII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854710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23" w:name="page24"/>
    <w:bookmarkEnd w:id="23"/>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VII,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7"/>
          <w:szCs w:val="17"/>
          <w:color w:val="auto"/>
        </w:rPr>
        <w:t>By:      SR One Co-Invest VII Manager, LLC,</w:t>
      </w:r>
    </w:p>
    <w:p>
      <w:pPr>
        <w:spacing w:after="0" w:line="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VIII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VIII,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7"/>
          <w:szCs w:val="17"/>
          <w:color w:val="auto"/>
        </w:rPr>
        <w:t>By:      SR One Co-Invest VIII Manager, LLC,</w:t>
      </w:r>
    </w:p>
    <w:p>
      <w:pPr>
        <w:spacing w:after="0" w:line="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1266190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24" w:name="page25"/>
    <w:bookmarkEnd w:id="24"/>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IX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IX,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7"/>
          <w:szCs w:val="17"/>
          <w:color w:val="auto"/>
        </w:rPr>
        <w:t>By:      SR One Co-Invest IX Manager, LLC,</w:t>
      </w:r>
    </w:p>
    <w:p>
      <w:pPr>
        <w:spacing w:after="0" w:line="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854710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25" w:name="page26"/>
    <w:bookmarkEnd w:id="25"/>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Co-Invest X Manager,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XI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XI,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7"/>
          <w:szCs w:val="17"/>
          <w:color w:val="auto"/>
        </w:rPr>
        <w:t>By:      SR One Co-Invest XI Manager, LLC,</w:t>
      </w:r>
    </w:p>
    <w:p>
      <w:pPr>
        <w:spacing w:after="0" w:line="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991870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26" w:name="page27"/>
    <w:bookmarkEnd w:id="26"/>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XII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XII,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7"/>
          <w:szCs w:val="17"/>
          <w:color w:val="auto"/>
        </w:rPr>
        <w:t>By:      SR One Co-Invest XII Manager, LLC,</w:t>
      </w:r>
    </w:p>
    <w:p>
      <w:pPr>
        <w:spacing w:after="0" w:line="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XIII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991870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27" w:name="page28"/>
    <w:bookmarkEnd w:id="27"/>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XIII,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7"/>
          <w:szCs w:val="17"/>
          <w:color w:val="auto"/>
        </w:rPr>
        <w:t>By:      SR One Co-Invest XIII Manager, LLC,</w:t>
      </w:r>
    </w:p>
    <w:p>
      <w:pPr>
        <w:spacing w:after="0" w:line="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XIV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XIV,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SR One Co-Invest XIV Manager, LLC,</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991870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332" w:right="1440" w:bottom="1440" w:gutter="0" w:footer="0" w:header="0"/>
        </w:sectPr>
      </w:pPr>
    </w:p>
    <w:bookmarkStart w:id="28" w:name="page29"/>
    <w:bookmarkEnd w:id="28"/>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XV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XV,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7"/>
          <w:szCs w:val="17"/>
          <w:color w:val="auto"/>
        </w:rPr>
        <w:t>By:      SR One Co-Invest XV Manager, LLC,</w:t>
      </w:r>
    </w:p>
    <w:p>
      <w:pPr>
        <w:spacing w:after="0" w:line="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2200275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3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3"/>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2026-05-18T17:30:35Z</dcterms:created>
  <dcterms:modified xsi:type="dcterms:W3CDTF">2026-05-18T17:30:35Z</dcterms:modified>
</cp:coreProperties>
</file>