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00" w:hanging="3639"/>
        <w:spacing w:after="0" w:line="351" w:lineRule="auto"/>
        <w:tabs>
          <w:tab w:leader="none" w:pos="49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400" w:right="1520" w:hanging="2379"/>
        <w:spacing w:after="0" w:line="336" w:lineRule="auto"/>
        <w:tabs>
          <w:tab w:leader="none" w:pos="49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__________________ to 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001-43270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Odyssey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p>
      <w:pPr>
        <w:spacing w:after="0" w:line="234"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Delaware</w:t>
      </w:r>
    </w:p>
    <w:p>
      <w:pPr>
        <w:spacing w:after="0" w:line="5" w:lineRule="exact"/>
        <w:rPr>
          <w:sz w:val="24"/>
          <w:szCs w:val="24"/>
          <w:color w:val="auto"/>
        </w:r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86-3384382</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38" w:lineRule="exact"/>
        <w:rPr>
          <w:sz w:val="24"/>
          <w:szCs w:val="24"/>
          <w:color w:val="auto"/>
        </w:rPr>
      </w:pPr>
    </w:p>
    <w:p>
      <w:pPr>
        <w:sectPr>
          <w:pgSz w:w="11900" w:h="16838" w:orient="portrait"/>
          <w:cols w:equalWidth="0" w:num="2">
            <w:col w:w="7180" w:space="720"/>
            <w:col w:w="3340"/>
          </w:cols>
          <w:pgMar w:left="320" w:top="1095" w:right="339" w:bottom="1440" w:gutter="0" w:footer="0" w:header="0"/>
          <w:type w:val="continuous"/>
        </w:sectPr>
      </w:pPr>
    </w:p>
    <w:p>
      <w:pPr>
        <w:ind w:left="1640"/>
        <w:spacing w:after="0"/>
        <w:rPr>
          <w:sz w:val="20"/>
          <w:szCs w:val="20"/>
          <w:color w:val="auto"/>
        </w:rPr>
      </w:pPr>
      <w:r>
        <w:rPr>
          <w:rFonts w:ascii="Arial" w:cs="Arial" w:eastAsia="Arial" w:hAnsi="Arial"/>
          <w:sz w:val="18"/>
          <w:szCs w:val="18"/>
          <w:b w:val="1"/>
          <w:bCs w:val="1"/>
          <w:color w:val="auto"/>
        </w:rPr>
        <w:t>51 Sleeper Street, Suite 800</w:t>
      </w:r>
    </w:p>
    <w:p>
      <w:pPr>
        <w:spacing w:after="0" w:line="4" w:lineRule="exact"/>
        <w:rPr>
          <w:sz w:val="24"/>
          <w:szCs w:val="24"/>
          <w:color w:val="auto"/>
        </w:rPr>
      </w:pPr>
    </w:p>
    <w:p>
      <w:pPr>
        <w:ind w:left="1800"/>
        <w:spacing w:after="0"/>
        <w:tabs>
          <w:tab w:leader="none" w:pos="8160" w:val="left"/>
        </w:tabs>
        <w:rPr>
          <w:sz w:val="20"/>
          <w:szCs w:val="20"/>
          <w:color w:val="auto"/>
        </w:rPr>
      </w:pPr>
      <w:r>
        <w:rPr>
          <w:rFonts w:ascii="Arial" w:cs="Arial" w:eastAsia="Arial" w:hAnsi="Arial"/>
          <w:sz w:val="18"/>
          <w:szCs w:val="18"/>
          <w:b w:val="1"/>
          <w:bCs w:val="1"/>
          <w:color w:val="auto"/>
        </w:rPr>
        <w:t>Boston, Massachusetts</w:t>
      </w:r>
      <w:r>
        <w:rPr>
          <w:sz w:val="20"/>
          <w:szCs w:val="20"/>
          <w:color w:val="auto"/>
        </w:rPr>
        <w:tab/>
      </w:r>
      <w:r>
        <w:rPr>
          <w:rFonts w:ascii="Arial" w:cs="Arial" w:eastAsia="Arial" w:hAnsi="Arial"/>
          <w:sz w:val="17"/>
          <w:szCs w:val="17"/>
          <w:b w:val="1"/>
          <w:bCs w:val="1"/>
          <w:color w:val="auto"/>
        </w:rPr>
        <w:t>02210</w:t>
      </w: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4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(617) 865-9628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4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71"/>
        </w:trPr>
        <w:tc>
          <w:tcPr>
            <w:tcW w:w="42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4"/>
                <w:szCs w:val="1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40" w:type="dxa"/>
            <w:vAlign w:val="bottom"/>
          </w:tcPr>
          <w:p>
            <w:pPr>
              <w:spacing w:after="0"/>
              <w:rPr>
                <w:sz w:val="20"/>
                <w:szCs w:val="20"/>
                <w:color w:val="auto"/>
              </w:rPr>
            </w:pPr>
            <w:r>
              <w:rPr>
                <w:rFonts w:ascii="Arial" w:cs="Arial" w:eastAsia="Arial" w:hAnsi="Arial"/>
                <w:sz w:val="16"/>
                <w:szCs w:val="16"/>
                <w:color w:val="auto"/>
              </w:rPr>
              <w:t>Common Stock, par value $0.0001 per share</w:t>
            </w: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ODTX</w:t>
            </w:r>
          </w:p>
        </w:tc>
        <w:tc>
          <w:tcPr>
            <w:tcW w:w="14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68" w:lineRule="exact"/>
        <w:rPr>
          <w:sz w:val="24"/>
          <w:szCs w:val="24"/>
          <w:color w:val="auto"/>
        </w:rPr>
      </w:pPr>
    </w:p>
    <w:p>
      <w:pPr>
        <w:ind w:right="12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80" w:firstLine="509"/>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526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2" w:lineRule="exact"/>
        <w:rPr>
          <w:sz w:val="24"/>
          <w:szCs w:val="24"/>
          <w:color w:val="auto"/>
        </w:rPr>
      </w:pPr>
    </w:p>
    <w:p>
      <w:pPr>
        <w:ind w:right="14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520" w:right="144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June 16, 2026, the registrant had 48,031,320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72"/>
        </w:trPr>
        <w:tc>
          <w:tcPr>
            <w:tcW w:w="1160" w:type="dxa"/>
            <w:vAlign w:val="bottom"/>
            <w:gridSpan w:val="4"/>
          </w:tcPr>
          <w:p>
            <w:pPr>
              <w:spacing w:after="0"/>
              <w:rPr>
                <w:sz w:val="20"/>
                <w:szCs w:val="20"/>
                <w:color w:val="auto"/>
              </w:rPr>
            </w:pPr>
            <w:r>
              <w:rPr>
                <w:rFonts w:ascii="Arial" w:cs="Arial" w:eastAsia="Arial" w:hAnsi="Arial"/>
                <w:sz w:val="18"/>
                <w:szCs w:val="18"/>
                <w:b w:val="1"/>
                <w:bCs w:val="1"/>
                <w:color w:val="0000FF"/>
              </w:rPr>
              <w:t>PART I.</w:t>
            </w:r>
          </w:p>
        </w:tc>
        <w:tc>
          <w:tcPr>
            <w:tcW w:w="9260" w:type="dxa"/>
            <w:vAlign w:val="bottom"/>
            <w:gridSpan w:val="18"/>
          </w:tcPr>
          <w:p>
            <w:pPr>
              <w:spacing w:after="0"/>
              <w:rPr>
                <w:sz w:val="20"/>
                <w:szCs w:val="20"/>
                <w:color w:val="auto"/>
              </w:rPr>
            </w:pPr>
            <w:r>
              <w:rPr>
                <w:rFonts w:ascii="Arial" w:cs="Arial" w:eastAsia="Arial" w:hAnsi="Arial"/>
                <w:sz w:val="18"/>
                <w:szCs w:val="18"/>
                <w:color w:val="0000FF"/>
              </w:rPr>
              <w:t>FINANCIAL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FF"/>
                <w:w w:val="98"/>
              </w:rPr>
              <w:t>Item 1.</w:t>
            </w:r>
          </w:p>
        </w:tc>
        <w:tc>
          <w:tcPr>
            <w:tcW w:w="580" w:type="dxa"/>
            <w:vAlign w:val="bottom"/>
            <w:gridSpan w:val="3"/>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6"/>
              </w:rPr>
              <w:t>Condensed Consolidated Balance</w:t>
            </w:r>
          </w:p>
        </w:tc>
        <w:tc>
          <w:tcPr>
            <w:tcW w:w="6600" w:type="dxa"/>
            <w:vAlign w:val="bottom"/>
            <w:gridSpan w:val="9"/>
          </w:tcPr>
          <w:p>
            <w:pPr>
              <w:ind w:left="100"/>
              <w:spacing w:after="0" w:line="182" w:lineRule="exact"/>
              <w:rPr>
                <w:sz w:val="20"/>
                <w:szCs w:val="20"/>
                <w:color w:val="auto"/>
              </w:rPr>
            </w:pPr>
            <w:r>
              <w:rPr>
                <w:rFonts w:ascii="Arial" w:cs="Arial" w:eastAsia="Arial" w:hAnsi="Arial"/>
                <w:sz w:val="18"/>
                <w:szCs w:val="18"/>
                <w:color w:val="0000FF"/>
              </w:rPr>
              <w:t>Sheets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940" w:type="dxa"/>
            <w:vAlign w:val="bottom"/>
            <w:gridSpan w:val="8"/>
            <w:vMerge w:val="restart"/>
          </w:tcPr>
          <w:p>
            <w:pPr>
              <w:spacing w:after="0" w:line="202" w:lineRule="exact"/>
              <w:rPr>
                <w:sz w:val="20"/>
                <w:szCs w:val="20"/>
                <w:color w:val="auto"/>
              </w:rPr>
            </w:pPr>
            <w:r>
              <w:rPr>
                <w:rFonts w:ascii="Arial" w:cs="Arial" w:eastAsia="Arial" w:hAnsi="Arial"/>
                <w:sz w:val="18"/>
                <w:szCs w:val="18"/>
                <w:color w:val="0000FF"/>
              </w:rPr>
              <w:t>Operations and Comprehensive Loss</w:t>
            </w: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10"/>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40" w:type="dxa"/>
            <w:vAlign w:val="bottom"/>
            <w:gridSpan w:val="8"/>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60" w:type="dxa"/>
            <w:vAlign w:val="bottom"/>
            <w:gridSpan w:val="18"/>
          </w:tcPr>
          <w:p>
            <w:pPr>
              <w:spacing w:after="0" w:line="182" w:lineRule="exact"/>
              <w:rPr>
                <w:sz w:val="20"/>
                <w:szCs w:val="20"/>
                <w:color w:val="auto"/>
              </w:rPr>
            </w:pPr>
            <w:r>
              <w:rPr>
                <w:rFonts w:ascii="Arial" w:cs="Arial" w:eastAsia="Arial" w:hAnsi="Arial"/>
                <w:sz w:val="18"/>
                <w:szCs w:val="18"/>
                <w:color w:val="0000FF"/>
              </w:rPr>
              <w:t>Condensed Consolidated Statements of Convertible Preferred Stock and Stockholders’ Deficit</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0" w:type="dxa"/>
            <w:vAlign w:val="bottom"/>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6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Statements of Cash Flows</w:t>
            </w:r>
          </w:p>
        </w:tc>
        <w:tc>
          <w:tcPr>
            <w:tcW w:w="1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60" w:type="dxa"/>
            <w:vAlign w:val="bottom"/>
            <w:gridSpan w:val="18"/>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4"/>
            <w:vMerge w:val="restart"/>
          </w:tcPr>
          <w:p>
            <w:pPr>
              <w:spacing w:after="0" w:line="202" w:lineRule="exact"/>
              <w:rPr>
                <w:sz w:val="20"/>
                <w:szCs w:val="20"/>
                <w:color w:val="auto"/>
              </w:rPr>
            </w:pPr>
            <w:r>
              <w:rPr>
                <w:rFonts w:ascii="Arial" w:cs="Arial" w:eastAsia="Arial" w:hAnsi="Arial"/>
                <w:sz w:val="18"/>
                <w:szCs w:val="18"/>
                <w:color w:val="0000FF"/>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920" w:type="dxa"/>
            <w:vAlign w:val="bottom"/>
            <w:gridSpan w:val="4"/>
            <w:vMerge w:val="restart"/>
          </w:tcPr>
          <w:p>
            <w:pPr>
              <w:spacing w:after="0" w:line="202" w:lineRule="exact"/>
              <w:rPr>
                <w:sz w:val="20"/>
                <w:szCs w:val="20"/>
                <w:color w:val="auto"/>
              </w:rPr>
            </w:pPr>
            <w:r>
              <w:rPr>
                <w:rFonts w:ascii="Arial" w:cs="Arial" w:eastAsia="Arial" w:hAnsi="Arial"/>
                <w:sz w:val="18"/>
                <w:szCs w:val="18"/>
                <w:color w:val="0000FF"/>
              </w:rPr>
              <w:t>Results of Operations</w:t>
            </w: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83"/>
        </w:trPr>
        <w:tc>
          <w:tcPr>
            <w:tcW w:w="1160" w:type="dxa"/>
            <w:vAlign w:val="bottom"/>
            <w:gridSpan w:val="4"/>
            <w:vMerge w:val="continue"/>
          </w:tcPr>
          <w:p>
            <w:pPr>
              <w:spacing w:after="0"/>
              <w:rPr>
                <w:sz w:val="15"/>
                <w:szCs w:val="15"/>
                <w:color w:val="auto"/>
              </w:rPr>
            </w:pPr>
          </w:p>
        </w:tc>
        <w:tc>
          <w:tcPr>
            <w:tcW w:w="5340" w:type="dxa"/>
            <w:vAlign w:val="bottom"/>
            <w:gridSpan w:val="14"/>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920" w:type="dxa"/>
            <w:vAlign w:val="bottom"/>
            <w:gridSpan w:val="4"/>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8"/>
              </w:rPr>
              <w:t>Item 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6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180" w:type="dxa"/>
            <w:vAlign w:val="bottom"/>
            <w:gridSpan w:val="2"/>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8"/>
              </w:rPr>
              <w:t>Item 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tcPr>
          <w:p>
            <w:pPr>
              <w:spacing w:after="0"/>
              <w:rPr>
                <w:sz w:val="15"/>
                <w:szCs w:val="15"/>
                <w:color w:val="auto"/>
              </w:rPr>
            </w:pPr>
          </w:p>
        </w:tc>
        <w:tc>
          <w:tcPr>
            <w:tcW w:w="4420" w:type="dxa"/>
            <w:vAlign w:val="bottom"/>
            <w:gridSpan w:val="5"/>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00" w:type="dxa"/>
            <w:vAlign w:val="bottom"/>
            <w:gridSpan w:val="2"/>
          </w:tcPr>
          <w:p>
            <w:pPr>
              <w:spacing w:after="0"/>
              <w:rPr>
                <w:sz w:val="20"/>
                <w:szCs w:val="20"/>
                <w:color w:val="auto"/>
              </w:rPr>
            </w:pPr>
            <w:r>
              <w:rPr>
                <w:rFonts w:ascii="Arial" w:cs="Arial" w:eastAsia="Arial" w:hAnsi="Arial"/>
                <w:sz w:val="18"/>
                <w:szCs w:val="18"/>
                <w:b w:val="1"/>
                <w:bCs w:val="1"/>
                <w:color w:val="0000FF"/>
                <w:w w:val="95"/>
              </w:rPr>
              <w:t>PART II.</w:t>
            </w:r>
          </w:p>
        </w:tc>
        <w:tc>
          <w:tcPr>
            <w:tcW w:w="460" w:type="dxa"/>
            <w:vAlign w:val="bottom"/>
            <w:gridSpan w:val="2"/>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FF"/>
                <w:w w:val="98"/>
              </w:rPr>
              <w:t>Item 1.</w:t>
            </w:r>
          </w:p>
        </w:tc>
        <w:tc>
          <w:tcPr>
            <w:tcW w:w="12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2300" w:type="dxa"/>
            <w:vAlign w:val="bottom"/>
            <w:gridSpan w:val="5"/>
            <w:vMerge w:val="restart"/>
          </w:tcPr>
          <w:p>
            <w:pPr>
              <w:spacing w:after="0" w:line="20" w:lineRule="exact"/>
              <w:rPr>
                <w:sz w:val="1"/>
                <w:szCs w:val="1"/>
                <w:color w:val="auto"/>
              </w:rPr>
            </w:pPr>
          </w:p>
        </w:tc>
        <w:tc>
          <w:tcPr>
            <w:tcW w:w="4420" w:type="dxa"/>
            <w:vAlign w:val="bottom"/>
            <w:gridSpan w:val="5"/>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83"/>
        </w:trPr>
        <w:tc>
          <w:tcPr>
            <w:tcW w:w="1160" w:type="dxa"/>
            <w:vAlign w:val="bottom"/>
            <w:gridSpan w:val="4"/>
          </w:tcPr>
          <w:p>
            <w:pPr>
              <w:spacing w:after="0" w:line="182" w:lineRule="exact"/>
              <w:rPr>
                <w:sz w:val="20"/>
                <w:szCs w:val="20"/>
                <w:color w:val="auto"/>
              </w:rPr>
            </w:pPr>
            <w:r>
              <w:rPr>
                <w:rFonts w:ascii="Arial" w:cs="Arial" w:eastAsia="Arial" w:hAnsi="Arial"/>
                <w:sz w:val="18"/>
                <w:szCs w:val="18"/>
                <w:color w:val="0000FF"/>
              </w:rPr>
              <w:t>Item 1A.</w:t>
            </w:r>
          </w:p>
        </w:tc>
        <w:tc>
          <w:tcPr>
            <w:tcW w:w="20" w:type="dxa"/>
            <w:vAlign w:val="bottom"/>
            <w:vMerge w:val="continue"/>
          </w:tcPr>
          <w:p>
            <w:pPr>
              <w:spacing w:after="0"/>
              <w:rPr>
                <w:sz w:val="15"/>
                <w:szCs w:val="15"/>
                <w:color w:val="auto"/>
              </w:rPr>
            </w:pPr>
          </w:p>
        </w:tc>
        <w:tc>
          <w:tcPr>
            <w:tcW w:w="1460" w:type="dxa"/>
            <w:vAlign w:val="bottom"/>
            <w:gridSpan w:val="4"/>
          </w:tcPr>
          <w:p>
            <w:pPr>
              <w:spacing w:after="0" w:line="182" w:lineRule="exact"/>
              <w:rPr>
                <w:sz w:val="20"/>
                <w:szCs w:val="20"/>
                <w:color w:val="auto"/>
              </w:rPr>
            </w:pPr>
            <w:r>
              <w:rPr>
                <w:rFonts w:ascii="Arial" w:cs="Arial" w:eastAsia="Arial" w:hAnsi="Arial"/>
                <w:sz w:val="18"/>
                <w:szCs w:val="18"/>
                <w:color w:val="0000FF"/>
              </w:rPr>
              <w:t>Risk Factors</w:t>
            </w:r>
          </w:p>
        </w:tc>
        <w:tc>
          <w:tcPr>
            <w:tcW w:w="46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4420" w:type="dxa"/>
            <w:vAlign w:val="bottom"/>
            <w:gridSpan w:val="5"/>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8"/>
              </w:rPr>
              <w:t>Item 2.</w:t>
            </w:r>
          </w:p>
        </w:tc>
        <w:tc>
          <w:tcPr>
            <w:tcW w:w="12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3"/>
              </w:rPr>
              <w:t>Unregistered</w:t>
            </w:r>
          </w:p>
        </w:tc>
        <w:tc>
          <w:tcPr>
            <w:tcW w:w="8260" w:type="dxa"/>
            <w:vAlign w:val="bottom"/>
            <w:gridSpan w:val="15"/>
          </w:tcPr>
          <w:p>
            <w:pPr>
              <w:ind w:left="8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8"/>
              </w:rPr>
              <w:t>Item 3.</w:t>
            </w:r>
          </w:p>
        </w:tc>
        <w:tc>
          <w:tcPr>
            <w:tcW w:w="3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2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20" w:type="dxa"/>
            <w:vAlign w:val="bottom"/>
            <w:gridSpan w:val="5"/>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8"/>
              </w:rPr>
              <w:t>Item 4.</w:t>
            </w:r>
          </w:p>
        </w:tc>
        <w:tc>
          <w:tcPr>
            <w:tcW w:w="3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Mine Safety Disclosures</w:t>
            </w:r>
          </w:p>
        </w:tc>
        <w:tc>
          <w:tcPr>
            <w:tcW w:w="6720" w:type="dxa"/>
            <w:vAlign w:val="bottom"/>
            <w:gridSpan w:val="10"/>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Item 5.</w:t>
            </w:r>
          </w:p>
        </w:tc>
        <w:tc>
          <w:tcPr>
            <w:tcW w:w="3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7"/>
              </w:rPr>
              <w:t>Other Information</w:t>
            </w:r>
          </w:p>
        </w:tc>
        <w:tc>
          <w:tcPr>
            <w:tcW w:w="540" w:type="dxa"/>
            <w:vAlign w:val="bottom"/>
            <w:tcBorders>
              <w:top w:val="single" w:sz="8" w:color="0000FF"/>
            </w:tcBorders>
            <w:gridSpan w:val="2"/>
          </w:tcPr>
          <w:p>
            <w:pPr>
              <w:spacing w:after="0"/>
              <w:rPr>
                <w:sz w:val="15"/>
                <w:szCs w:val="15"/>
                <w:color w:val="auto"/>
              </w:rPr>
            </w:pPr>
          </w:p>
        </w:tc>
        <w:tc>
          <w:tcPr>
            <w:tcW w:w="7320" w:type="dxa"/>
            <w:vAlign w:val="bottom"/>
            <w:gridSpan w:val="12"/>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580" w:type="dxa"/>
            <w:vAlign w:val="bottom"/>
          </w:tcPr>
          <w:p>
            <w:pPr>
              <w:spacing w:after="0" w:line="182" w:lineRule="exact"/>
              <w:rPr>
                <w:sz w:val="20"/>
                <w:szCs w:val="20"/>
                <w:color w:val="auto"/>
              </w:rPr>
            </w:pPr>
            <w:r>
              <w:rPr>
                <w:rFonts w:ascii="Arial" w:cs="Arial" w:eastAsia="Arial" w:hAnsi="Arial"/>
                <w:sz w:val="18"/>
                <w:szCs w:val="18"/>
                <w:color w:val="0000FF"/>
                <w:w w:val="98"/>
              </w:rPr>
              <w:t>Item 6.</w:t>
            </w:r>
          </w:p>
        </w:tc>
        <w:tc>
          <w:tcPr>
            <w:tcW w:w="3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spacing w:after="0" w:line="182" w:lineRule="exact"/>
              <w:rPr>
                <w:sz w:val="20"/>
                <w:szCs w:val="20"/>
                <w:color w:val="auto"/>
              </w:rPr>
            </w:pPr>
            <w:r>
              <w:rPr>
                <w:rFonts w:ascii="Arial" w:cs="Arial" w:eastAsia="Arial" w:hAnsi="Arial"/>
                <w:sz w:val="18"/>
                <w:szCs w:val="18"/>
                <w:color w:val="0000FF"/>
              </w:rPr>
              <w:t>Exhibits</w:t>
            </w:r>
          </w:p>
        </w:tc>
        <w:tc>
          <w:tcPr>
            <w:tcW w:w="7860" w:type="dxa"/>
            <w:vAlign w:val="bottom"/>
            <w:gridSpan w:val="14"/>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83"/>
        </w:trPr>
        <w:tc>
          <w:tcPr>
            <w:tcW w:w="1160" w:type="dxa"/>
            <w:vAlign w:val="bottom"/>
            <w:gridSpan w:val="4"/>
          </w:tcPr>
          <w:p>
            <w:pPr>
              <w:spacing w:after="0" w:line="182" w:lineRule="exact"/>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8"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This Quarterly Report on Form 10-Q, or this Quarterly Report,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Quarterly Report, including statements regarding our future results of operations and financial position, business strategy, product candidates, plans for and results of preclinical studies and clinical trials, research and development costs, manufacturing plans,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negatives of these words or other similar terms or expressions that concern our expectations, strategy, plans or intentions. Forward-looking statements contained in this Quarterly Report include, but are not limited to, statements about:</w:t>
      </w:r>
    </w:p>
    <w:p>
      <w:pPr>
        <w:spacing w:after="0" w:line="274" w:lineRule="exact"/>
        <w:rPr>
          <w:sz w:val="20"/>
          <w:szCs w:val="20"/>
          <w:color w:val="auto"/>
        </w:rPr>
      </w:pPr>
    </w:p>
    <w:p>
      <w:pPr>
        <w:ind w:left="1020" w:right="74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and results of our preclinical studies, clinical trials and research programs for our product candidates, including OD-001 and OD-002;</w:t>
      </w:r>
    </w:p>
    <w:p>
      <w:pPr>
        <w:spacing w:after="0" w:line="46"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product candidates and the potential advantages of our product candidates compared to alternative therapies;</w:t>
      </w:r>
    </w:p>
    <w:p>
      <w:pPr>
        <w:spacing w:after="0" w:line="46" w:lineRule="exact"/>
        <w:rPr>
          <w:rFonts w:ascii="Times New Roman" w:cs="Times New Roman" w:eastAsia="Times New Roman" w:hAnsi="Times New Roman"/>
          <w:sz w:val="18"/>
          <w:szCs w:val="18"/>
          <w:color w:val="auto"/>
        </w:rPr>
      </w:pPr>
    </w:p>
    <w:p>
      <w:pPr>
        <w:ind w:left="1020" w:right="54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of certain diseases and conditions we intend to treat and the size of the market opportunity for our product candidates;</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the number of patients with certain diseases and conditions we intend to treat and the number of patients that we will enroll in our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meet future regulatory standards with respect to our product candidates, if approved;</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therapeutic benefits of our product candidates, if approved;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or partner and progress our current and future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strategic plans for our business, product candidates, research programs and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developments related to our competitors and our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our current license agreements and collaborations and identify and enter into future license agreements and collaborations;</w:t>
      </w:r>
    </w:p>
    <w:p>
      <w:pPr>
        <w:spacing w:after="0" w:line="46" w:lineRule="exact"/>
        <w:rPr>
          <w:rFonts w:ascii="Times New Roman" w:cs="Times New Roman" w:eastAsia="Times New Roman" w:hAnsi="Times New Roman"/>
          <w:sz w:val="18"/>
          <w:szCs w:val="18"/>
          <w:color w:val="auto"/>
        </w:rPr>
      </w:pPr>
    </w:p>
    <w:p>
      <w:pPr>
        <w:ind w:left="1020" w:right="94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potential benefits of strategic collaborations with third parties and our ability to attract collaborators with development, regulatory, manufacturing or commercialization expertise;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or manufacture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sales strategy, manufacturing and commercializing our product candidates, if approved;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regulatory developments in the United States and foreign countries in which we may seek regulatory approval for our product candidates in the future;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and management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116"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as amended, or the JOBS Act, or a smaller reporting company; and</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anticipated use of our existing resources and the proceeds from our initial public offering, or IPO, and the concurrent private placement, capital requirements and need for additional financing.</w:t>
      </w:r>
    </w:p>
    <w:p>
      <w:pPr>
        <w:spacing w:after="0" w:line="249" w:lineRule="exact"/>
        <w:rPr>
          <w:sz w:val="20"/>
          <w:szCs w:val="20"/>
          <w:color w:val="auto"/>
        </w:rPr>
      </w:pPr>
    </w:p>
    <w:p>
      <w:pPr>
        <w:ind w:right="40" w:firstLine="644"/>
        <w:spacing w:after="0" w:line="271" w:lineRule="auto"/>
        <w:rPr>
          <w:sz w:val="20"/>
          <w:szCs w:val="20"/>
          <w:color w:val="auto"/>
        </w:rPr>
      </w:pPr>
      <w:r>
        <w:rPr>
          <w:rFonts w:ascii="Arial" w:cs="Arial" w:eastAsia="Arial" w:hAnsi="Arial"/>
          <w:sz w:val="18"/>
          <w:szCs w:val="18"/>
          <w:color w:val="auto"/>
        </w:rPr>
        <w:t>We caution you that the forward-looking statements highlighted above do not encompass all of the forward-looking statements made in this Quarterly Report.</w:t>
      </w:r>
    </w:p>
    <w:p>
      <w:pPr>
        <w:spacing w:after="0" w:line="46"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We have based the forward-looking statements contained in this Quarterly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titled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Quarterly Report.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72"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spacing w:after="0" w:line="71" w:lineRule="exact"/>
        <w:rPr>
          <w:sz w:val="20"/>
          <w:szCs w:val="20"/>
          <w:color w:val="auto"/>
        </w:rPr>
      </w:pPr>
    </w:p>
    <w:p>
      <w:pPr>
        <w:ind w:right="60" w:firstLine="644"/>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04" w:lineRule="exact"/>
        <w:rPr>
          <w:sz w:val="20"/>
          <w:szCs w:val="20"/>
          <w:color w:val="auto"/>
        </w:rPr>
      </w:pPr>
    </w:p>
    <w:p>
      <w:pPr>
        <w:ind w:right="20" w:firstLine="644"/>
        <w:spacing w:after="0" w:line="271" w:lineRule="auto"/>
        <w:rPr>
          <w:sz w:val="20"/>
          <w:szCs w:val="20"/>
          <w:color w:val="auto"/>
        </w:rPr>
      </w:pPr>
      <w:r>
        <w:rPr>
          <w:rFonts w:ascii="Arial" w:cs="Arial" w:eastAsia="Arial" w:hAnsi="Arial"/>
          <w:sz w:val="18"/>
          <w:szCs w:val="18"/>
          <w:color w:val="auto"/>
        </w:rPr>
        <w:t>Our ability to implement our business strategy is subject to numerous risks that you should be aware of before making an investment decision. These risks are described more fully in Part II, Item 1A - Risk Factors in this Quarterly Report. These risks include, among others:</w:t>
      </w:r>
    </w:p>
    <w:p>
      <w:pPr>
        <w:spacing w:after="0" w:line="46" w:lineRule="exact"/>
        <w:rPr>
          <w:sz w:val="20"/>
          <w:szCs w:val="20"/>
          <w:color w:val="auto"/>
        </w:rPr>
      </w:pPr>
    </w:p>
    <w:p>
      <w:pPr>
        <w:ind w:left="1020" w:hanging="503"/>
        <w:spacing w:after="0" w:line="300"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We are a clinical-stage biotechnology company with a limited operating history and a history of incurring substantial net losses, have no products approved for commercial sale, have never generated revenue from product sales and may never be profitable.</w:t>
      </w:r>
    </w:p>
    <w:p>
      <w:pPr>
        <w:spacing w:after="0" w:line="23" w:lineRule="exact"/>
        <w:rPr>
          <w:rFonts w:ascii="Times New Roman" w:cs="Times New Roman" w:eastAsia="Times New Roman" w:hAnsi="Times New Roman"/>
          <w:sz w:val="17"/>
          <w:szCs w:val="17"/>
          <w:color w:val="auto"/>
        </w:rPr>
      </w:pPr>
    </w:p>
    <w:p>
      <w:pPr>
        <w:jc w:val="both"/>
        <w:ind w:left="1020" w:right="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62" w:lineRule="exact"/>
        <w:rPr>
          <w:rFonts w:ascii="Times New Roman" w:cs="Times New Roman" w:eastAsia="Times New Roman" w:hAnsi="Times New Roman"/>
          <w:sz w:val="18"/>
          <w:szCs w:val="18"/>
          <w:color w:val="auto"/>
        </w:rPr>
      </w:pPr>
    </w:p>
    <w:p>
      <w:pPr>
        <w:ind w:left="1020" w:right="100" w:hanging="503"/>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entirely on the success of our product candidates and development programs, including OD-001 and OD-002,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success depends on our ability to retain and to continue to receive adequate attention from our key leaders, as well as on our ability to attract, retain and motivate qualified personnel.</w:t>
      </w:r>
    </w:p>
    <w:p>
      <w:pPr>
        <w:spacing w:after="0" w:line="46" w:lineRule="exact"/>
        <w:rPr>
          <w:rFonts w:ascii="Times New Roman" w:cs="Times New Roman" w:eastAsia="Times New Roman" w:hAnsi="Times New Roman"/>
          <w:sz w:val="18"/>
          <w:szCs w:val="18"/>
          <w:color w:val="auto"/>
        </w:rPr>
      </w:pPr>
    </w:p>
    <w:p>
      <w:pPr>
        <w:jc w:val="both"/>
        <w:ind w:left="1020" w:right="1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two most advanced product candidates are currently in a phase 2a clinical trial and IND-enabling studies, respectively. We have never successfully completed any large-scale or pivotal clinical trials with our product candidates, and we may be unable to do so for any product candidates we develop.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4" w:name="page5"/>
    <w:bookmarkEnd w:id="4"/>
    <w:p>
      <w:pPr>
        <w:ind w:left="503" w:right="920" w:hanging="503"/>
        <w:spacing w:after="0" w:line="252"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w:t>
      </w:r>
    </w:p>
    <w:p>
      <w:pPr>
        <w:spacing w:after="0" w:line="62" w:lineRule="exact"/>
        <w:rPr>
          <w:rFonts w:ascii="Times New Roman" w:cs="Times New Roman" w:eastAsia="Times New Roman" w:hAnsi="Times New Roman"/>
          <w:sz w:val="18"/>
          <w:szCs w:val="18"/>
          <w:color w:val="auto"/>
        </w:rPr>
      </w:pPr>
    </w:p>
    <w:p>
      <w:pPr>
        <w:ind w:left="503" w:right="280" w:hanging="503"/>
        <w:spacing w:after="0" w:line="270"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face substantial competition, which may result in others discovering, developing or commercializing drugs before or more successfully than we do.</w:t>
      </w:r>
    </w:p>
    <w:p>
      <w:pPr>
        <w:spacing w:after="0" w:line="46" w:lineRule="exact"/>
        <w:rPr>
          <w:rFonts w:ascii="Times New Roman" w:cs="Times New Roman" w:eastAsia="Times New Roman" w:hAnsi="Times New Roman"/>
          <w:sz w:val="18"/>
          <w:szCs w:val="18"/>
          <w:color w:val="auto"/>
        </w:rPr>
      </w:pPr>
    </w:p>
    <w:p>
      <w:pPr>
        <w:ind w:left="503" w:right="180" w:hanging="503"/>
        <w:spacing w:after="0" w:line="246"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8" w:lineRule="exact"/>
        <w:rPr>
          <w:rFonts w:ascii="Times New Roman" w:cs="Times New Roman" w:eastAsia="Times New Roman" w:hAnsi="Times New Roman"/>
          <w:sz w:val="18"/>
          <w:szCs w:val="18"/>
          <w:color w:val="auto"/>
        </w:rPr>
      </w:pPr>
    </w:p>
    <w:p>
      <w:pPr>
        <w:ind w:left="503" w:hanging="503"/>
        <w:spacing w:after="0" w:line="246"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68" w:lineRule="exact"/>
        <w:rPr>
          <w:rFonts w:ascii="Times New Roman" w:cs="Times New Roman" w:eastAsia="Times New Roman" w:hAnsi="Times New Roman"/>
          <w:sz w:val="18"/>
          <w:szCs w:val="18"/>
          <w:color w:val="auto"/>
        </w:rPr>
      </w:pPr>
    </w:p>
    <w:p>
      <w:pPr>
        <w:ind w:left="503" w:right="180" w:hanging="503"/>
        <w:spacing w:after="0" w:line="246"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 frames, or at all, would materially and adversely affect our business, financial condition, results of operations and prospects.</w:t>
      </w:r>
    </w:p>
    <w:p>
      <w:pPr>
        <w:spacing w:after="0" w:line="68"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stock price may be volatile, which could result in substantial losses for investors.</w:t>
      </w:r>
    </w:p>
    <w:p>
      <w:pPr>
        <w:spacing w:after="0" w:line="224"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7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 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ind w:right="144"/>
              <w:spacing w:after="0"/>
              <w:rPr>
                <w:sz w:val="20"/>
                <w:szCs w:val="20"/>
                <w:color w:val="auto"/>
              </w:rPr>
            </w:pPr>
            <w:r>
              <w:rPr>
                <w:rFonts w:ascii="Arial" w:cs="Arial" w:eastAsia="Arial" w:hAnsi="Arial"/>
                <w:sz w:val="15"/>
                <w:szCs w:val="15"/>
                <w:b w:val="1"/>
                <w:bCs w:val="1"/>
                <w:color w:val="auto"/>
              </w:rPr>
              <w:t>December 31, 2025</w:t>
            </w: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Current assets: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2"/>
        </w:trPr>
        <w:tc>
          <w:tcPr>
            <w:tcW w:w="772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w w:val="95"/>
              </w:rPr>
              <w:t>$</w:t>
            </w:r>
          </w:p>
        </w:tc>
        <w:tc>
          <w:tcPr>
            <w:tcW w:w="152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35,719</w:t>
            </w:r>
          </w:p>
        </w:tc>
        <w:tc>
          <w:tcPr>
            <w:tcW w:w="24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w:t>
            </w:r>
          </w:p>
        </w:tc>
        <w:tc>
          <w:tcPr>
            <w:tcW w:w="160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41,687</w:t>
            </w:r>
          </w:p>
        </w:tc>
      </w:tr>
      <w:tr>
        <w:trPr>
          <w:trHeight w:val="162"/>
        </w:trPr>
        <w:tc>
          <w:tcPr>
            <w:tcW w:w="7720" w:type="dxa"/>
            <w:vAlign w:val="bottom"/>
          </w:tcPr>
          <w:p>
            <w:pPr>
              <w:ind w:left="140"/>
              <w:spacing w:after="0" w:line="162" w:lineRule="exact"/>
              <w:rPr>
                <w:sz w:val="20"/>
                <w:szCs w:val="20"/>
                <w:color w:val="auto"/>
              </w:rPr>
            </w:pPr>
            <w:r>
              <w:rPr>
                <w:rFonts w:ascii="Arial" w:cs="Arial" w:eastAsia="Arial" w:hAnsi="Arial"/>
                <w:sz w:val="15"/>
                <w:szCs w:val="15"/>
                <w:color w:val="auto"/>
              </w:rPr>
              <w:t>Short-term marketable securities</w:t>
            </w:r>
          </w:p>
        </w:tc>
        <w:tc>
          <w:tcPr>
            <w:tcW w:w="160" w:type="dxa"/>
            <w:vAlign w:val="bottom"/>
          </w:tcPr>
          <w:p>
            <w:pPr>
              <w:spacing w:after="0"/>
              <w:rPr>
                <w:sz w:val="14"/>
                <w:szCs w:val="14"/>
                <w:color w:val="auto"/>
              </w:rPr>
            </w:pPr>
          </w:p>
        </w:tc>
        <w:tc>
          <w:tcPr>
            <w:tcW w:w="15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140,030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139,671</w:t>
            </w:r>
          </w:p>
        </w:tc>
      </w:tr>
      <w:tr>
        <w:trPr>
          <w:trHeight w:val="162"/>
        </w:trPr>
        <w:tc>
          <w:tcPr>
            <w:tcW w:w="7720" w:type="dxa"/>
            <w:vAlign w:val="bottom"/>
            <w:tcBorders>
              <w:bottom w:val="single" w:sz="8" w:color="CFF0FC"/>
            </w:tcBorders>
            <w:shd w:val="clear" w:color="auto" w:fill="CFF0FC"/>
          </w:tcPr>
          <w:p>
            <w:pPr>
              <w:ind w:left="14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6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9,352</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9,298</w:t>
            </w:r>
          </w:p>
        </w:tc>
      </w:tr>
      <w:tr>
        <w:trPr>
          <w:trHeight w:val="155"/>
        </w:trPr>
        <w:tc>
          <w:tcPr>
            <w:tcW w:w="7720" w:type="dxa"/>
            <w:vAlign w:val="bottom"/>
          </w:tcPr>
          <w:p>
            <w:pPr>
              <w:ind w:left="280"/>
              <w:spacing w:after="0" w:line="156" w:lineRule="exact"/>
              <w:rPr>
                <w:sz w:val="20"/>
                <w:szCs w:val="20"/>
                <w:color w:val="auto"/>
              </w:rPr>
            </w:pPr>
            <w:r>
              <w:rPr>
                <w:rFonts w:ascii="Arial" w:cs="Arial" w:eastAsia="Arial" w:hAnsi="Arial"/>
                <w:sz w:val="15"/>
                <w:szCs w:val="15"/>
                <w:color w:val="auto"/>
              </w:rPr>
              <w:t>Total current assets</w:t>
            </w:r>
          </w:p>
        </w:tc>
        <w:tc>
          <w:tcPr>
            <w:tcW w:w="160" w:type="dxa"/>
            <w:vAlign w:val="bottom"/>
          </w:tcPr>
          <w:p>
            <w:pPr>
              <w:spacing w:after="0"/>
              <w:rPr>
                <w:sz w:val="13"/>
                <w:szCs w:val="13"/>
                <w:color w:val="auto"/>
              </w:rPr>
            </w:pPr>
          </w:p>
        </w:tc>
        <w:tc>
          <w:tcPr>
            <w:tcW w:w="1520" w:type="dxa"/>
            <w:vAlign w:val="bottom"/>
          </w:tcPr>
          <w:p>
            <w:pPr>
              <w:jc w:val="right"/>
              <w:ind w:right="64"/>
              <w:spacing w:after="0" w:line="156" w:lineRule="exact"/>
              <w:rPr>
                <w:sz w:val="20"/>
                <w:szCs w:val="20"/>
                <w:color w:val="auto"/>
              </w:rPr>
            </w:pPr>
            <w:r>
              <w:rPr>
                <w:rFonts w:ascii="Arial" w:cs="Arial" w:eastAsia="Arial" w:hAnsi="Arial"/>
                <w:sz w:val="15"/>
                <w:szCs w:val="15"/>
                <w:color w:val="auto"/>
              </w:rPr>
              <w:t>185,101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jc w:val="right"/>
              <w:ind w:right="64"/>
              <w:spacing w:after="0" w:line="156" w:lineRule="exact"/>
              <w:rPr>
                <w:sz w:val="20"/>
                <w:szCs w:val="20"/>
                <w:color w:val="auto"/>
              </w:rPr>
            </w:pPr>
            <w:r>
              <w:rPr>
                <w:rFonts w:ascii="Arial" w:cs="Arial" w:eastAsia="Arial" w:hAnsi="Arial"/>
                <w:sz w:val="15"/>
                <w:szCs w:val="15"/>
                <w:color w:val="auto"/>
              </w:rPr>
              <w:t>190,656</w:t>
            </w: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Property and equipment, net</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6,556</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7,209</w:t>
            </w: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Right-of-use assets</w:t>
            </w:r>
          </w:p>
        </w:tc>
        <w:tc>
          <w:tcPr>
            <w:tcW w:w="160" w:type="dxa"/>
            <w:vAlign w:val="bottom"/>
          </w:tcPr>
          <w:p>
            <w:pPr>
              <w:spacing w:after="0"/>
              <w:rPr>
                <w:sz w:val="14"/>
                <w:szCs w:val="14"/>
                <w:color w:val="auto"/>
              </w:rPr>
            </w:pPr>
          </w:p>
        </w:tc>
        <w:tc>
          <w:tcPr>
            <w:tcW w:w="15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17,920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18,804</w:t>
            </w: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Goodwill</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14,072</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14,327</w:t>
            </w: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Intangible asset</w:t>
            </w:r>
          </w:p>
        </w:tc>
        <w:tc>
          <w:tcPr>
            <w:tcW w:w="160" w:type="dxa"/>
            <w:vAlign w:val="bottom"/>
          </w:tcPr>
          <w:p>
            <w:pPr>
              <w:spacing w:after="0"/>
              <w:rPr>
                <w:sz w:val="14"/>
                <w:szCs w:val="14"/>
                <w:color w:val="auto"/>
              </w:rPr>
            </w:pPr>
          </w:p>
        </w:tc>
        <w:tc>
          <w:tcPr>
            <w:tcW w:w="15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160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262</w:t>
            </w: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Long-term marketable securities</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35,198</w:t>
            </w: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Other non-current assets</w:t>
            </w: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5,261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3,332</w:t>
            </w:r>
          </w:p>
        </w:tc>
      </w:tr>
      <w:tr>
        <w:trPr>
          <w:trHeight w:val="196"/>
        </w:trPr>
        <w:tc>
          <w:tcPr>
            <w:tcW w:w="7720" w:type="dxa"/>
            <w:vAlign w:val="bottom"/>
            <w:tcBorders>
              <w:bottom w:val="single" w:sz="8" w:color="CFF0FC"/>
            </w:tcBorders>
            <w:shd w:val="clear" w:color="auto" w:fill="CFF0FC"/>
          </w:tcPr>
          <w:p>
            <w:pPr>
              <w:ind w:left="280"/>
              <w:spacing w:after="0" w:line="156" w:lineRule="exact"/>
              <w:rPr>
                <w:sz w:val="20"/>
                <w:szCs w:val="20"/>
                <w:color w:val="auto"/>
              </w:rPr>
            </w:pPr>
            <w:r>
              <w:rPr>
                <w:rFonts w:ascii="Arial" w:cs="Arial" w:eastAsia="Arial" w:hAnsi="Arial"/>
                <w:sz w:val="15"/>
                <w:szCs w:val="15"/>
                <w:color w:val="auto"/>
              </w:rPr>
              <w:t>Total assets</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FF0FC"/>
          </w:tcPr>
          <w:p>
            <w:pPr>
              <w:jc w:val="right"/>
              <w:ind w:right="64"/>
              <w:spacing w:after="0" w:line="142" w:lineRule="exact"/>
              <w:rPr>
                <w:sz w:val="20"/>
                <w:szCs w:val="20"/>
                <w:color w:val="auto"/>
              </w:rPr>
            </w:pPr>
            <w:r>
              <w:rPr>
                <w:rFonts w:ascii="Arial" w:cs="Arial" w:eastAsia="Arial" w:hAnsi="Arial"/>
                <w:sz w:val="15"/>
                <w:szCs w:val="15"/>
                <w:color w:val="auto"/>
              </w:rPr>
              <w:t>229,070</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ind w:right="64"/>
              <w:spacing w:after="0" w:line="142" w:lineRule="exact"/>
              <w:rPr>
                <w:sz w:val="20"/>
                <w:szCs w:val="20"/>
                <w:color w:val="auto"/>
              </w:rPr>
            </w:pPr>
            <w:r>
              <w:rPr>
                <w:rFonts w:ascii="Arial" w:cs="Arial" w:eastAsia="Arial" w:hAnsi="Arial"/>
                <w:sz w:val="15"/>
                <w:szCs w:val="15"/>
                <w:color w:val="auto"/>
              </w:rPr>
              <w:t>269,788</w:t>
            </w: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5"/>
                <w:szCs w:val="15"/>
                <w:b w:val="1"/>
                <w:bCs w:val="1"/>
                <w:color w:val="auto"/>
              </w:rPr>
              <w:t>Liabilities, Convertible Preferred Stock and Stockholders’ Deficit</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Current liabilities:</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r>
      <w:tr>
        <w:trPr>
          <w:trHeight w:val="162"/>
        </w:trPr>
        <w:tc>
          <w:tcPr>
            <w:tcW w:w="7720" w:type="dxa"/>
            <w:vAlign w:val="bottom"/>
          </w:tcPr>
          <w:p>
            <w:pPr>
              <w:ind w:left="140"/>
              <w:spacing w:after="0" w:line="162" w:lineRule="exact"/>
              <w:rPr>
                <w:sz w:val="20"/>
                <w:szCs w:val="20"/>
                <w:color w:val="auto"/>
              </w:rPr>
            </w:pPr>
            <w:r>
              <w:rPr>
                <w:rFonts w:ascii="Arial" w:cs="Arial" w:eastAsia="Arial" w:hAnsi="Arial"/>
                <w:sz w:val="15"/>
                <w:szCs w:val="15"/>
                <w:color w:val="auto"/>
              </w:rPr>
              <w:t>Accounts payable</w:t>
            </w: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15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8,219</w:t>
            </w:r>
          </w:p>
        </w:tc>
        <w:tc>
          <w:tcPr>
            <w:tcW w:w="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6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7,872</w:t>
            </w:r>
          </w:p>
        </w:tc>
      </w:tr>
      <w:tr>
        <w:trPr>
          <w:trHeight w:val="162"/>
        </w:trPr>
        <w:tc>
          <w:tcPr>
            <w:tcW w:w="772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8,618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13,392</w:t>
            </w:r>
          </w:p>
        </w:tc>
      </w:tr>
      <w:tr>
        <w:trPr>
          <w:trHeight w:val="162"/>
        </w:trPr>
        <w:tc>
          <w:tcPr>
            <w:tcW w:w="7720" w:type="dxa"/>
            <w:vAlign w:val="bottom"/>
          </w:tcPr>
          <w:p>
            <w:pPr>
              <w:ind w:left="140"/>
              <w:spacing w:after="0" w:line="162" w:lineRule="exact"/>
              <w:rPr>
                <w:sz w:val="20"/>
                <w:szCs w:val="20"/>
                <w:color w:val="auto"/>
              </w:rPr>
            </w:pPr>
            <w:r>
              <w:rPr>
                <w:rFonts w:ascii="Arial" w:cs="Arial" w:eastAsia="Arial" w:hAnsi="Arial"/>
                <w:sz w:val="15"/>
                <w:szCs w:val="15"/>
                <w:color w:val="auto"/>
              </w:rPr>
              <w:t>Lease liabilities, current</w:t>
            </w: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5,374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5,211</w:t>
            </w:r>
          </w:p>
        </w:tc>
      </w:tr>
      <w:tr>
        <w:trPr>
          <w:trHeight w:val="155"/>
        </w:trPr>
        <w:tc>
          <w:tcPr>
            <w:tcW w:w="7720" w:type="dxa"/>
            <w:vAlign w:val="bottom"/>
            <w:shd w:val="clear" w:color="auto" w:fill="CFF0FC"/>
          </w:tcPr>
          <w:p>
            <w:pPr>
              <w:ind w:left="280"/>
              <w:spacing w:after="0" w:line="156" w:lineRule="exact"/>
              <w:rPr>
                <w:sz w:val="20"/>
                <w:szCs w:val="20"/>
                <w:color w:val="auto"/>
              </w:rPr>
            </w:pPr>
            <w:r>
              <w:rPr>
                <w:rFonts w:ascii="Arial" w:cs="Arial" w:eastAsia="Arial" w:hAnsi="Arial"/>
                <w:sz w:val="15"/>
                <w:szCs w:val="15"/>
                <w:color w:val="auto"/>
              </w:rPr>
              <w:t>Total current liabilities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22,211</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26,475</w:t>
            </w: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Contingent consideration and warrant liability</w:t>
            </w:r>
          </w:p>
        </w:tc>
        <w:tc>
          <w:tcPr>
            <w:tcW w:w="160" w:type="dxa"/>
            <w:vAlign w:val="bottom"/>
          </w:tcPr>
          <w:p>
            <w:pPr>
              <w:spacing w:after="0"/>
              <w:rPr>
                <w:sz w:val="14"/>
                <w:szCs w:val="14"/>
                <w:color w:val="auto"/>
              </w:rPr>
            </w:pPr>
          </w:p>
        </w:tc>
        <w:tc>
          <w:tcPr>
            <w:tcW w:w="15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6,242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6,133</w:t>
            </w:r>
          </w:p>
        </w:tc>
      </w:tr>
      <w:tr>
        <w:trPr>
          <w:trHeight w:val="162"/>
        </w:trPr>
        <w:tc>
          <w:tcPr>
            <w:tcW w:w="7720" w:type="dxa"/>
            <w:vAlign w:val="bottom"/>
            <w:tcBorders>
              <w:bottom w:val="single" w:sz="8" w:color="CFF0FC"/>
            </w:tcBorders>
            <w:shd w:val="clear" w:color="auto" w:fill="CFF0FC"/>
          </w:tcPr>
          <w:p>
            <w:pPr>
              <w:spacing w:after="0" w:line="162" w:lineRule="exact"/>
              <w:rPr>
                <w:sz w:val="20"/>
                <w:szCs w:val="20"/>
                <w:color w:val="auto"/>
              </w:rPr>
            </w:pPr>
            <w:r>
              <w:rPr>
                <w:rFonts w:ascii="Arial" w:cs="Arial" w:eastAsia="Arial" w:hAnsi="Arial"/>
                <w:sz w:val="15"/>
                <w:szCs w:val="15"/>
                <w:color w:val="auto"/>
              </w:rPr>
              <w:t>Lease liabilities, non-current</w:t>
            </w:r>
          </w:p>
        </w:tc>
        <w:tc>
          <w:tcPr>
            <w:tcW w:w="16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20,753</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21,900</w:t>
            </w:r>
          </w:p>
        </w:tc>
      </w:tr>
      <w:tr>
        <w:trPr>
          <w:trHeight w:val="155"/>
        </w:trPr>
        <w:tc>
          <w:tcPr>
            <w:tcW w:w="7720" w:type="dxa"/>
            <w:vAlign w:val="bottom"/>
          </w:tcPr>
          <w:p>
            <w:pPr>
              <w:ind w:left="280"/>
              <w:spacing w:after="0" w:line="156" w:lineRule="exact"/>
              <w:rPr>
                <w:sz w:val="20"/>
                <w:szCs w:val="20"/>
                <w:color w:val="auto"/>
              </w:rPr>
            </w:pPr>
            <w:r>
              <w:rPr>
                <w:rFonts w:ascii="Arial" w:cs="Arial" w:eastAsia="Arial" w:hAnsi="Arial"/>
                <w:sz w:val="15"/>
                <w:szCs w:val="15"/>
                <w:color w:val="auto"/>
              </w:rPr>
              <w:t>Total liabilities</w:t>
            </w:r>
          </w:p>
        </w:tc>
        <w:tc>
          <w:tcPr>
            <w:tcW w:w="160" w:type="dxa"/>
            <w:vAlign w:val="bottom"/>
          </w:tcPr>
          <w:p>
            <w:pPr>
              <w:spacing w:after="0"/>
              <w:rPr>
                <w:sz w:val="13"/>
                <w:szCs w:val="13"/>
                <w:color w:val="auto"/>
              </w:rPr>
            </w:pPr>
          </w:p>
        </w:tc>
        <w:tc>
          <w:tcPr>
            <w:tcW w:w="1520" w:type="dxa"/>
            <w:vAlign w:val="bottom"/>
          </w:tcPr>
          <w:p>
            <w:pPr>
              <w:jc w:val="right"/>
              <w:ind w:right="64"/>
              <w:spacing w:after="0" w:line="156" w:lineRule="exact"/>
              <w:rPr>
                <w:sz w:val="20"/>
                <w:szCs w:val="20"/>
                <w:color w:val="auto"/>
              </w:rPr>
            </w:pPr>
            <w:r>
              <w:rPr>
                <w:rFonts w:ascii="Arial" w:cs="Arial" w:eastAsia="Arial" w:hAnsi="Arial"/>
                <w:sz w:val="15"/>
                <w:szCs w:val="15"/>
                <w:color w:val="auto"/>
              </w:rPr>
              <w:t>49,206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jc w:val="right"/>
              <w:ind w:right="64"/>
              <w:spacing w:after="0" w:line="156" w:lineRule="exact"/>
              <w:rPr>
                <w:sz w:val="20"/>
                <w:szCs w:val="20"/>
                <w:color w:val="auto"/>
              </w:rPr>
            </w:pPr>
            <w:r>
              <w:rPr>
                <w:rFonts w:ascii="Arial" w:cs="Arial" w:eastAsia="Arial" w:hAnsi="Arial"/>
                <w:sz w:val="15"/>
                <w:szCs w:val="15"/>
                <w:color w:val="auto"/>
              </w:rPr>
              <w:t>54,508</w:t>
            </w: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Commitments and contingencies (see Note 14)</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r>
      <w:tr>
        <w:trPr>
          <w:trHeight w:val="145"/>
        </w:trPr>
        <w:tc>
          <w:tcPr>
            <w:tcW w:w="7720" w:type="dxa"/>
            <w:vAlign w:val="bottom"/>
          </w:tcPr>
          <w:p>
            <w:pPr>
              <w:spacing w:after="0" w:line="145" w:lineRule="exact"/>
              <w:rPr>
                <w:sz w:val="20"/>
                <w:szCs w:val="20"/>
                <w:color w:val="auto"/>
              </w:rPr>
            </w:pPr>
            <w:r>
              <w:rPr>
                <w:rFonts w:ascii="Arial" w:cs="Arial" w:eastAsia="Arial" w:hAnsi="Arial"/>
                <w:sz w:val="15"/>
                <w:szCs w:val="15"/>
                <w:color w:val="auto"/>
              </w:rPr>
              <w:t>Series A convertible preferred stock, net of issuance costs, $0.0001 par value: 43,749,045 shares authorized</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as of March 31, 2026 and December 31, 2025; and 43,732,797 shares issued and outstanding as of March 31,</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9"/>
        </w:trPr>
        <w:tc>
          <w:tcPr>
            <w:tcW w:w="7720" w:type="dxa"/>
            <w:vAlign w:val="bottom"/>
          </w:tcPr>
          <w:p>
            <w:pPr>
              <w:spacing w:after="0"/>
              <w:rPr>
                <w:sz w:val="20"/>
                <w:szCs w:val="20"/>
                <w:color w:val="auto"/>
              </w:rPr>
            </w:pPr>
            <w:r>
              <w:rPr>
                <w:rFonts w:ascii="Arial" w:cs="Arial" w:eastAsia="Arial" w:hAnsi="Arial"/>
                <w:sz w:val="15"/>
                <w:szCs w:val="15"/>
                <w:color w:val="auto"/>
              </w:rPr>
              <w:t>2026 and December 31, 2025 (liquidation preference $84,796 as of March 31, 2026 and December 31, 2025)</w:t>
            </w:r>
          </w:p>
        </w:tc>
        <w:tc>
          <w:tcPr>
            <w:tcW w:w="160" w:type="dxa"/>
            <w:vAlign w:val="bottom"/>
          </w:tcPr>
          <w:p>
            <w:pPr>
              <w:spacing w:after="0"/>
              <w:rPr>
                <w:sz w:val="15"/>
                <w:szCs w:val="15"/>
                <w:color w:val="auto"/>
              </w:rPr>
            </w:pPr>
          </w:p>
        </w:tc>
        <w:tc>
          <w:tcPr>
            <w:tcW w:w="1520" w:type="dxa"/>
            <w:vAlign w:val="bottom"/>
          </w:tcPr>
          <w:p>
            <w:pPr>
              <w:jc w:val="right"/>
              <w:ind w:right="64"/>
              <w:spacing w:after="0"/>
              <w:rPr>
                <w:sz w:val="20"/>
                <w:szCs w:val="20"/>
                <w:color w:val="auto"/>
              </w:rPr>
            </w:pPr>
            <w:r>
              <w:rPr>
                <w:rFonts w:ascii="Arial" w:cs="Arial" w:eastAsia="Arial" w:hAnsi="Arial"/>
                <w:sz w:val="15"/>
                <w:szCs w:val="15"/>
                <w:color w:val="auto"/>
              </w:rPr>
              <w:t>216,503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ind w:right="64"/>
              <w:spacing w:after="0"/>
              <w:rPr>
                <w:sz w:val="20"/>
                <w:szCs w:val="20"/>
                <w:color w:val="auto"/>
              </w:rPr>
            </w:pPr>
            <w:r>
              <w:rPr>
                <w:rFonts w:ascii="Arial" w:cs="Arial" w:eastAsia="Arial" w:hAnsi="Arial"/>
                <w:sz w:val="15"/>
                <w:szCs w:val="15"/>
                <w:color w:val="auto"/>
              </w:rPr>
              <w:t>216,503</w:t>
            </w:r>
          </w:p>
        </w:tc>
      </w:tr>
      <w:tr>
        <w:trPr>
          <w:trHeight w:val="145"/>
        </w:trPr>
        <w:tc>
          <w:tcPr>
            <w:tcW w:w="7720" w:type="dxa"/>
            <w:vAlign w:val="bottom"/>
            <w:shd w:val="clear" w:color="auto" w:fill="CFF0FC"/>
          </w:tcPr>
          <w:p>
            <w:pPr>
              <w:spacing w:after="0" w:line="145" w:lineRule="exact"/>
              <w:rPr>
                <w:sz w:val="20"/>
                <w:szCs w:val="20"/>
                <w:color w:val="auto"/>
              </w:rPr>
            </w:pPr>
            <w:r>
              <w:rPr>
                <w:rFonts w:ascii="Arial" w:cs="Arial" w:eastAsia="Arial" w:hAnsi="Arial"/>
                <w:sz w:val="15"/>
                <w:szCs w:val="15"/>
                <w:color w:val="auto"/>
              </w:rPr>
              <w:t>Series B convertible preferred stock, net of issuance costs, $0.0001 par value: 26,601,360 shares authorized</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as of March 31, 2026 and December 31, 2025; and 26,601,360 shares issued and outstanding as of March 31,</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r>
      <w:tr>
        <w:trPr>
          <w:trHeight w:val="179"/>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2026 and December 31, 2025 (liquidation preference $66,100 as of March 31, 2026 and December 31, 2025)</w:t>
            </w: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167,765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167,765</w:t>
            </w:r>
          </w:p>
        </w:tc>
      </w:tr>
      <w:tr>
        <w:trPr>
          <w:trHeight w:val="145"/>
        </w:trPr>
        <w:tc>
          <w:tcPr>
            <w:tcW w:w="7720" w:type="dxa"/>
            <w:vAlign w:val="bottom"/>
          </w:tcPr>
          <w:p>
            <w:pPr>
              <w:spacing w:after="0" w:line="145" w:lineRule="exact"/>
              <w:rPr>
                <w:sz w:val="20"/>
                <w:szCs w:val="20"/>
                <w:color w:val="auto"/>
              </w:rPr>
            </w:pPr>
            <w:r>
              <w:rPr>
                <w:rFonts w:ascii="Arial" w:cs="Arial" w:eastAsia="Arial" w:hAnsi="Arial"/>
                <w:sz w:val="15"/>
                <w:szCs w:val="15"/>
                <w:color w:val="auto"/>
              </w:rPr>
              <w:t>Series C convertible preferred stock, net of issuance costs, $0.0001 par value: 24,901,598 shares authorized</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as of March 31, 2026 and December 31, 2025; and 24,901,598 shares issued and outstanding as of March 31,</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9"/>
        </w:trPr>
        <w:tc>
          <w:tcPr>
            <w:tcW w:w="7720" w:type="dxa"/>
            <w:vAlign w:val="bottom"/>
          </w:tcPr>
          <w:p>
            <w:pPr>
              <w:spacing w:after="0"/>
              <w:rPr>
                <w:sz w:val="20"/>
                <w:szCs w:val="20"/>
                <w:color w:val="auto"/>
              </w:rPr>
            </w:pPr>
            <w:r>
              <w:rPr>
                <w:rFonts w:ascii="Arial" w:cs="Arial" w:eastAsia="Arial" w:hAnsi="Arial"/>
                <w:sz w:val="15"/>
                <w:szCs w:val="15"/>
                <w:color w:val="auto"/>
              </w:rPr>
              <w:t>2026 and December 31, 2025 (liquidation preference $49,065 as of March 31, 2026 and December 31, 2025)</w:t>
            </w:r>
          </w:p>
        </w:tc>
        <w:tc>
          <w:tcPr>
            <w:tcW w:w="160" w:type="dxa"/>
            <w:vAlign w:val="bottom"/>
          </w:tcPr>
          <w:p>
            <w:pPr>
              <w:spacing w:after="0"/>
              <w:rPr>
                <w:sz w:val="15"/>
                <w:szCs w:val="15"/>
                <w:color w:val="auto"/>
              </w:rPr>
            </w:pPr>
          </w:p>
        </w:tc>
        <w:tc>
          <w:tcPr>
            <w:tcW w:w="1520" w:type="dxa"/>
            <w:vAlign w:val="bottom"/>
          </w:tcPr>
          <w:p>
            <w:pPr>
              <w:jc w:val="right"/>
              <w:ind w:right="64"/>
              <w:spacing w:after="0"/>
              <w:rPr>
                <w:sz w:val="20"/>
                <w:szCs w:val="20"/>
                <w:color w:val="auto"/>
              </w:rPr>
            </w:pPr>
            <w:r>
              <w:rPr>
                <w:rFonts w:ascii="Arial" w:cs="Arial" w:eastAsia="Arial" w:hAnsi="Arial"/>
                <w:sz w:val="15"/>
                <w:szCs w:val="15"/>
                <w:color w:val="auto"/>
              </w:rPr>
              <w:t>123,259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ind w:right="64"/>
              <w:spacing w:after="0"/>
              <w:rPr>
                <w:sz w:val="20"/>
                <w:szCs w:val="20"/>
                <w:color w:val="auto"/>
              </w:rPr>
            </w:pPr>
            <w:r>
              <w:rPr>
                <w:rFonts w:ascii="Arial" w:cs="Arial" w:eastAsia="Arial" w:hAnsi="Arial"/>
                <w:sz w:val="15"/>
                <w:szCs w:val="15"/>
                <w:color w:val="auto"/>
              </w:rPr>
              <w:t>123,259</w:t>
            </w:r>
          </w:p>
        </w:tc>
      </w:tr>
      <w:tr>
        <w:trPr>
          <w:trHeight w:val="145"/>
        </w:trPr>
        <w:tc>
          <w:tcPr>
            <w:tcW w:w="7720" w:type="dxa"/>
            <w:vAlign w:val="bottom"/>
            <w:shd w:val="clear" w:color="auto" w:fill="CFF0FC"/>
          </w:tcPr>
          <w:p>
            <w:pPr>
              <w:spacing w:after="0" w:line="145" w:lineRule="exact"/>
              <w:rPr>
                <w:sz w:val="20"/>
                <w:szCs w:val="20"/>
                <w:color w:val="auto"/>
              </w:rPr>
            </w:pPr>
            <w:r>
              <w:rPr>
                <w:rFonts w:ascii="Arial" w:cs="Arial" w:eastAsia="Arial" w:hAnsi="Arial"/>
                <w:sz w:val="15"/>
                <w:szCs w:val="15"/>
                <w:color w:val="auto"/>
              </w:rPr>
              <w:t>Series D convertible preferred stock, net of issuance costs, $0.0001 par value: 142,016,823 shares authorized</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as of March 31, 2026 and December 31, 2025; and 141,950,377 shares issued and outstanding as of March</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31, 2026 and December 31, 2025 (liquidation preference $213,631 as of March 31, 2026 and December 31,</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r>
      <w:tr>
        <w:trPr>
          <w:trHeight w:val="179"/>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2025)</w:t>
            </w: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196,031</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196,031</w:t>
            </w: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Stockholders’ deficit:</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45"/>
        </w:trPr>
        <w:tc>
          <w:tcPr>
            <w:tcW w:w="7720" w:type="dxa"/>
            <w:vAlign w:val="bottom"/>
            <w:shd w:val="clear" w:color="auto" w:fill="CFF0FC"/>
          </w:tcPr>
          <w:p>
            <w:pPr>
              <w:ind w:left="140"/>
              <w:spacing w:after="0" w:line="145" w:lineRule="exact"/>
              <w:rPr>
                <w:sz w:val="20"/>
                <w:szCs w:val="20"/>
                <w:color w:val="auto"/>
              </w:rPr>
            </w:pPr>
            <w:r>
              <w:rPr>
                <w:rFonts w:ascii="Arial" w:cs="Arial" w:eastAsia="Arial" w:hAnsi="Arial"/>
                <w:sz w:val="15"/>
                <w:szCs w:val="15"/>
                <w:color w:val="auto"/>
              </w:rPr>
              <w:t>Common stock, $0.0001 par value: 365,081,240 shares authorized as of March 31, 2026 and December 31,</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r>
      <w:tr>
        <w:trPr>
          <w:trHeight w:val="162"/>
        </w:trPr>
        <w:tc>
          <w:tcPr>
            <w:tcW w:w="772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2025; 2,634,650 shares and 2,472,757 shares issued as of March 31, 2026 and December 31, 2025,</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r>
      <w:tr>
        <w:trPr>
          <w:trHeight w:val="162"/>
        </w:trPr>
        <w:tc>
          <w:tcPr>
            <w:tcW w:w="772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respectively; 2,481,339 shares and 2,306,207 shares outstanding as of March 31, 2026 and December 31,</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r>
      <w:tr>
        <w:trPr>
          <w:trHeight w:val="179"/>
        </w:trPr>
        <w:tc>
          <w:tcPr>
            <w:tcW w:w="7720" w:type="dxa"/>
            <w:vAlign w:val="bottom"/>
            <w:shd w:val="clear" w:color="auto" w:fill="CFF0FC"/>
          </w:tcPr>
          <w:p>
            <w:pPr>
              <w:ind w:left="140"/>
              <w:spacing w:after="0"/>
              <w:rPr>
                <w:sz w:val="20"/>
                <w:szCs w:val="20"/>
                <w:color w:val="auto"/>
              </w:rPr>
            </w:pPr>
            <w:r>
              <w:rPr>
                <w:rFonts w:ascii="Arial" w:cs="Arial" w:eastAsia="Arial" w:hAnsi="Arial"/>
                <w:sz w:val="15"/>
                <w:szCs w:val="15"/>
                <w:color w:val="auto"/>
              </w:rPr>
              <w:t>2025, respectively</w:t>
            </w: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r>
      <w:tr>
        <w:trPr>
          <w:trHeight w:val="162"/>
        </w:trPr>
        <w:tc>
          <w:tcPr>
            <w:tcW w:w="7720" w:type="dxa"/>
            <w:vAlign w:val="bottom"/>
          </w:tcPr>
          <w:p>
            <w:pPr>
              <w:ind w:left="140"/>
              <w:spacing w:after="0" w:line="162" w:lineRule="exact"/>
              <w:rPr>
                <w:sz w:val="20"/>
                <w:szCs w:val="20"/>
                <w:color w:val="auto"/>
              </w:rPr>
            </w:pPr>
            <w:r>
              <w:rPr>
                <w:rFonts w:ascii="Arial" w:cs="Arial" w:eastAsia="Arial" w:hAnsi="Arial"/>
                <w:sz w:val="15"/>
                <w:szCs w:val="15"/>
                <w:color w:val="auto"/>
              </w:rPr>
              <w:t>Additional paid-in capital</w:t>
            </w:r>
          </w:p>
        </w:tc>
        <w:tc>
          <w:tcPr>
            <w:tcW w:w="160" w:type="dxa"/>
            <w:vAlign w:val="bottom"/>
          </w:tcPr>
          <w:p>
            <w:pPr>
              <w:spacing w:after="0"/>
              <w:rPr>
                <w:sz w:val="14"/>
                <w:szCs w:val="14"/>
                <w:color w:val="auto"/>
              </w:rPr>
            </w:pPr>
          </w:p>
        </w:tc>
        <w:tc>
          <w:tcPr>
            <w:tcW w:w="15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82,854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79,616</w:t>
            </w:r>
          </w:p>
        </w:tc>
      </w:tr>
      <w:tr>
        <w:trPr>
          <w:trHeight w:val="162"/>
        </w:trPr>
        <w:tc>
          <w:tcPr>
            <w:tcW w:w="772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Accumulated deficit</w:t>
            </w: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(606,401)</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4"/>
              <w:spacing w:after="0" w:line="162" w:lineRule="exact"/>
              <w:rPr>
                <w:sz w:val="20"/>
                <w:szCs w:val="20"/>
                <w:color w:val="auto"/>
              </w:rPr>
            </w:pPr>
            <w:r>
              <w:rPr>
                <w:rFonts w:ascii="Arial" w:cs="Arial" w:eastAsia="Arial" w:hAnsi="Arial"/>
                <w:sz w:val="15"/>
                <w:szCs w:val="15"/>
                <w:color w:val="auto"/>
              </w:rPr>
              <w:t>(568,139)</w:t>
            </w:r>
          </w:p>
        </w:tc>
      </w:tr>
      <w:tr>
        <w:trPr>
          <w:trHeight w:val="162"/>
        </w:trPr>
        <w:tc>
          <w:tcPr>
            <w:tcW w:w="7720" w:type="dxa"/>
            <w:vAlign w:val="bottom"/>
          </w:tcPr>
          <w:p>
            <w:pPr>
              <w:ind w:left="140"/>
              <w:spacing w:after="0" w:line="162" w:lineRule="exact"/>
              <w:rPr>
                <w:sz w:val="20"/>
                <w:szCs w:val="20"/>
                <w:color w:val="auto"/>
              </w:rPr>
            </w:pPr>
            <w:r>
              <w:rPr>
                <w:rFonts w:ascii="Arial" w:cs="Arial" w:eastAsia="Arial" w:hAnsi="Arial"/>
                <w:sz w:val="15"/>
                <w:szCs w:val="15"/>
                <w:color w:val="auto"/>
              </w:rPr>
              <w:t>Accumulated other comprehensive income (loss)</w:t>
            </w: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245</w:t>
            </w:r>
          </w:p>
        </w:tc>
      </w:tr>
      <w:tr>
        <w:trPr>
          <w:trHeight w:val="155"/>
        </w:trPr>
        <w:tc>
          <w:tcPr>
            <w:tcW w:w="7720" w:type="dxa"/>
            <w:vAlign w:val="bottom"/>
            <w:tcBorders>
              <w:bottom w:val="single" w:sz="8" w:color="CFF0FC"/>
            </w:tcBorders>
            <w:shd w:val="clear" w:color="auto" w:fill="CFF0FC"/>
          </w:tcPr>
          <w:p>
            <w:pPr>
              <w:ind w:left="280"/>
              <w:spacing w:after="0" w:line="156" w:lineRule="exact"/>
              <w:rPr>
                <w:sz w:val="20"/>
                <w:szCs w:val="20"/>
                <w:color w:val="auto"/>
              </w:rPr>
            </w:pPr>
            <w:r>
              <w:rPr>
                <w:rFonts w:ascii="Arial" w:cs="Arial" w:eastAsia="Arial" w:hAnsi="Arial"/>
                <w:sz w:val="15"/>
                <w:szCs w:val="15"/>
                <w:color w:val="auto"/>
              </w:rPr>
              <w:t>Total stockholders’ deficit</w:t>
            </w:r>
          </w:p>
        </w:tc>
        <w:tc>
          <w:tcPr>
            <w:tcW w:w="16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(523,694)</w:t>
            </w: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ind w:right="4"/>
              <w:spacing w:after="0" w:line="156" w:lineRule="exact"/>
              <w:rPr>
                <w:sz w:val="20"/>
                <w:szCs w:val="20"/>
                <w:color w:val="auto"/>
              </w:rPr>
            </w:pPr>
            <w:r>
              <w:rPr>
                <w:rFonts w:ascii="Arial" w:cs="Arial" w:eastAsia="Arial" w:hAnsi="Arial"/>
                <w:sz w:val="15"/>
                <w:szCs w:val="15"/>
                <w:color w:val="auto"/>
              </w:rPr>
              <w:t>(488,278)</w:t>
            </w:r>
          </w:p>
        </w:tc>
      </w:tr>
      <w:tr>
        <w:trPr>
          <w:trHeight w:val="155"/>
        </w:trPr>
        <w:tc>
          <w:tcPr>
            <w:tcW w:w="7720" w:type="dxa"/>
            <w:vAlign w:val="bottom"/>
          </w:tcPr>
          <w:p>
            <w:pPr>
              <w:ind w:left="280"/>
              <w:spacing w:after="0" w:line="156" w:lineRule="exact"/>
              <w:rPr>
                <w:sz w:val="20"/>
                <w:szCs w:val="20"/>
                <w:color w:val="auto"/>
              </w:rPr>
            </w:pPr>
            <w:r>
              <w:rPr>
                <w:rFonts w:ascii="Arial" w:cs="Arial" w:eastAsia="Arial" w:hAnsi="Arial"/>
                <w:sz w:val="15"/>
                <w:szCs w:val="15"/>
                <w:color w:val="auto"/>
              </w:rPr>
              <w:t>Total liabilities, convertible preferred stock, and stockholders’ deficit</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5"/>
                <w:szCs w:val="15"/>
                <w:color w:val="auto"/>
              </w:rPr>
              <w:t>229,070</w:t>
            </w: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5"/>
                <w:szCs w:val="15"/>
                <w:color w:val="auto"/>
              </w:rPr>
              <w:t>269,788</w:t>
            </w: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-4319905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-3479800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-3462655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-2622550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-136525</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Odyssey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21"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auto"/>
        </w:rPr>
        <w:t>Three Months Ended March 31,</w:t>
      </w:r>
    </w:p>
    <w:p>
      <w:pPr>
        <w:sectPr>
          <w:pgSz w:w="11900" w:h="16838" w:orient="portrait"/>
          <w:cols w:equalWidth="0" w:num="1">
            <w:col w:w="11240"/>
          </w:cols>
          <w:pgMar w:left="320" w:top="97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Collaboration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expenses:</w:t>
      </w:r>
    </w:p>
    <w:p>
      <w:pPr>
        <w:ind w:left="200"/>
        <w:spacing w:after="0" w:line="234" w:lineRule="auto"/>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Change in fair value of contingent consideration</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loss</w:t>
      </w:r>
    </w:p>
    <w:p>
      <w:pPr>
        <w:spacing w:after="0" w:line="234" w:lineRule="auto"/>
        <w:rPr>
          <w:sz w:val="20"/>
          <w:szCs w:val="20"/>
          <w:color w:val="auto"/>
        </w:rPr>
      </w:pPr>
      <w:r>
        <w:rPr>
          <w:rFonts w:ascii="Arial" w:cs="Arial" w:eastAsia="Arial" w:hAnsi="Arial"/>
          <w:sz w:val="18"/>
          <w:szCs w:val="18"/>
          <w:color w:val="auto"/>
        </w:rPr>
        <w:t>Other income (expense), net:</w:t>
      </w:r>
    </w:p>
    <w:p>
      <w:pPr>
        <w:ind w:left="160"/>
        <w:spacing w:after="0" w:line="235" w:lineRule="auto"/>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Other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income:</w:t>
      </w:r>
    </w:p>
    <w:p>
      <w:pPr>
        <w:ind w:left="200"/>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line="230" w:lineRule="auto"/>
        <w:rPr>
          <w:sz w:val="20"/>
          <w:szCs w:val="20"/>
          <w:color w:val="auto"/>
        </w:rPr>
      </w:pPr>
      <w:r>
        <w:rPr>
          <w:rFonts w:ascii="Arial" w:cs="Arial" w:eastAsia="Arial" w:hAnsi="Arial"/>
          <w:sz w:val="18"/>
          <w:szCs w:val="18"/>
          <w:color w:val="auto"/>
        </w:rPr>
        <w:t>Unrealized loss on marketable securities,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2026</w:t>
            </w: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r>
      <w:tr>
        <w:trPr>
          <w:trHeight w:val="232"/>
        </w:trPr>
        <w:tc>
          <w:tcPr>
            <w:tcW w:w="2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1,918</w:t>
            </w:r>
          </w:p>
        </w:tc>
      </w:tr>
      <w:tr>
        <w:trPr>
          <w:trHeight w:val="35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32,321</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38,774</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7,350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7,952</w:t>
            </w:r>
          </w:p>
        </w:tc>
      </w:tr>
      <w:tr>
        <w:trPr>
          <w:trHeight w:val="221"/>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39,780</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41,078</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(39,780)</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(39,160)</w:t>
            </w:r>
          </w:p>
        </w:tc>
      </w:tr>
      <w:tr>
        <w:trPr>
          <w:trHeight w:val="3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1,708</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1,156</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21"/>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1,581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865</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(38,199)</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(38,295)</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140</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(38,262)</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(38,435)</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575</w:t>
            </w:r>
          </w:p>
        </w:tc>
      </w:tr>
      <w:tr>
        <w:trPr>
          <w:trHeight w:val="221"/>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 w:lineRule="exact"/>
        <w:rPr>
          <w:sz w:val="20"/>
          <w:szCs w:val="20"/>
          <w:color w:val="auto"/>
        </w:rPr>
      </w:pPr>
    </w:p>
    <w:p>
      <w:pPr>
        <w:sectPr>
          <w:pgSz w:w="11900" w:h="16838" w:orient="portrait"/>
          <w:cols w:equalWidth="0" w:num="2">
            <w:col w:w="7000" w:space="720"/>
            <w:col w:w="3520"/>
          </w:cols>
          <w:pgMar w:left="320" w:top="97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comprehensive (loss) income</w:t>
            </w:r>
          </w:p>
        </w:tc>
        <w:tc>
          <w:tcPr>
            <w:tcW w:w="9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(392)</w:t>
            </w: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565</w:t>
            </w:r>
          </w:p>
        </w:tc>
      </w:tr>
      <w:tr>
        <w:trPr>
          <w:trHeight w:val="196"/>
        </w:trPr>
        <w:tc>
          <w:tcPr>
            <w:tcW w:w="6780" w:type="dxa"/>
            <w:vAlign w:val="bottom"/>
          </w:tcPr>
          <w:p>
            <w:pPr>
              <w:spacing w:after="0" w:line="182" w:lineRule="exact"/>
              <w:rPr>
                <w:sz w:val="20"/>
                <w:szCs w:val="20"/>
                <w:color w:val="auto"/>
              </w:rPr>
            </w:pPr>
            <w:r>
              <w:rPr>
                <w:rFonts w:ascii="Arial" w:cs="Arial" w:eastAsia="Arial" w:hAnsi="Arial"/>
                <w:sz w:val="18"/>
                <w:szCs w:val="18"/>
                <w:color w:val="auto"/>
              </w:rPr>
              <w:t>Comprehensive loss</w:t>
            </w:r>
          </w:p>
        </w:tc>
        <w:tc>
          <w:tcPr>
            <w:tcW w:w="136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(38,654)</w:t>
            </w:r>
          </w:p>
        </w:tc>
        <w:tc>
          <w:tcPr>
            <w:tcW w:w="660" w:type="dxa"/>
            <w:vAlign w:val="bottom"/>
            <w:gridSpan w:val="2"/>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(37,870)</w:t>
            </w: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7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Net loss attributable to common stockholders (see Note 16)</w:t>
            </w:r>
          </w:p>
        </w:tc>
        <w:tc>
          <w:tcPr>
            <w:tcW w:w="94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(38,262)</w:t>
            </w:r>
          </w:p>
        </w:tc>
        <w:tc>
          <w:tcPr>
            <w:tcW w:w="160" w:type="dxa"/>
            <w:vAlign w:val="bottom"/>
            <w:tcBorders>
              <w:bottom w:val="single" w:sz="8" w:color="CCECFF"/>
            </w:tcBorders>
            <w:shd w:val="clear" w:color="auto" w:fill="CCECFF"/>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(38,435)</w:t>
            </w: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36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(6.77)</w:t>
            </w:r>
          </w:p>
        </w:tc>
        <w:tc>
          <w:tcPr>
            <w:tcW w:w="160" w:type="dxa"/>
            <w:vAlign w:val="bottom"/>
          </w:tcPr>
          <w:p>
            <w:pPr>
              <w:spacing w:after="0"/>
              <w:rPr>
                <w:sz w:val="17"/>
                <w:szCs w:val="17"/>
                <w:color w:val="auto"/>
              </w:rPr>
            </w:pP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(39.37)</w:t>
            </w:r>
          </w:p>
        </w:tc>
      </w:tr>
      <w:tr>
        <w:trPr>
          <w:trHeight w:val="196"/>
        </w:trPr>
        <w:tc>
          <w:tcPr>
            <w:tcW w:w="6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common stock outstanding, basic and diluted</w:t>
            </w:r>
          </w:p>
        </w:tc>
        <w:tc>
          <w:tcPr>
            <w:tcW w:w="9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5,655,716</w:t>
            </w:r>
          </w:p>
        </w:tc>
        <w:tc>
          <w:tcPr>
            <w:tcW w:w="160" w:type="dxa"/>
            <w:vAlign w:val="bottom"/>
            <w:tcBorders>
              <w:bottom w:val="single" w:sz="8" w:color="CCECFF"/>
            </w:tcBorders>
            <w:shd w:val="clear" w:color="auto" w:fill="CCECFF"/>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976,146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-573405</wp:posOffset>
            </wp:positionV>
            <wp:extent cx="1117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-281940</wp:posOffset>
            </wp:positionV>
            <wp:extent cx="1117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Series A convertible</w:t>
            </w:r>
          </w:p>
        </w:tc>
        <w:tc>
          <w:tcPr>
            <w:tcW w:w="120" w:type="dxa"/>
            <w:vAlign w:val="bottom"/>
          </w:tcPr>
          <w:p>
            <w:pPr>
              <w:spacing w:after="0"/>
              <w:rPr>
                <w:sz w:val="10"/>
                <w:szCs w:val="10"/>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Series B convertible</w:t>
            </w:r>
          </w:p>
        </w:tc>
        <w:tc>
          <w:tcPr>
            <w:tcW w:w="120" w:type="dxa"/>
            <w:vAlign w:val="bottom"/>
          </w:tcPr>
          <w:p>
            <w:pPr>
              <w:spacing w:after="0"/>
              <w:rPr>
                <w:sz w:val="10"/>
                <w:szCs w:val="10"/>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Series C convertible</w:t>
            </w:r>
          </w:p>
        </w:tc>
        <w:tc>
          <w:tcPr>
            <w:tcW w:w="100" w:type="dxa"/>
            <w:vAlign w:val="bottom"/>
          </w:tcPr>
          <w:p>
            <w:pPr>
              <w:spacing w:after="0"/>
              <w:rPr>
                <w:sz w:val="10"/>
                <w:szCs w:val="10"/>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8"/>
              </w:rPr>
              <w:t>Series D convertible</w:t>
            </w: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0"/>
                <w:szCs w:val="10"/>
                <w:color w:val="auto"/>
              </w:rPr>
            </w:pPr>
          </w:p>
        </w:tc>
        <w:tc>
          <w:tcPr>
            <w:tcW w:w="6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9"/>
                <w:szCs w:val="9"/>
                <w:color w:val="auto"/>
              </w:rPr>
            </w:pPr>
          </w:p>
        </w:tc>
        <w:tc>
          <w:tcPr>
            <w:tcW w:w="6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Accumula</w:t>
            </w:r>
          </w:p>
        </w:tc>
        <w:tc>
          <w:tcPr>
            <w:tcW w:w="20" w:type="dxa"/>
            <w:vAlign w:val="bottom"/>
          </w:tcPr>
          <w:p>
            <w:pPr>
              <w:spacing w:after="0"/>
              <w:rPr>
                <w:sz w:val="9"/>
                <w:szCs w:val="9"/>
                <w:color w:val="auto"/>
              </w:rPr>
            </w:pPr>
          </w:p>
        </w:tc>
        <w:tc>
          <w:tcPr>
            <w:tcW w:w="76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rPr>
              <w:t>comprehen</w:t>
            </w:r>
          </w:p>
        </w:tc>
        <w:tc>
          <w:tcPr>
            <w:tcW w:w="72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stockholde</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22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Pr>
          <w:p>
            <w:pPr>
              <w:spacing w:after="0"/>
              <w:rPr>
                <w:sz w:val="11"/>
                <w:szCs w:val="11"/>
                <w:color w:val="auto"/>
              </w:rPr>
            </w:pPr>
          </w:p>
        </w:tc>
        <w:tc>
          <w:tcPr>
            <w:tcW w:w="116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Pr>
          <w:p>
            <w:pPr>
              <w:spacing w:after="0"/>
              <w:rPr>
                <w:sz w:val="11"/>
                <w:szCs w:val="11"/>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7"/>
              </w:rPr>
              <w:t>preferred stock</w:t>
            </w:r>
          </w:p>
        </w:tc>
        <w:tc>
          <w:tcPr>
            <w:tcW w:w="120" w:type="dxa"/>
            <w:vAlign w:val="bottom"/>
            <w:tcBorders>
              <w:right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paid-in</w:t>
            </w:r>
          </w:p>
        </w:tc>
        <w:tc>
          <w:tcPr>
            <w:tcW w:w="100" w:type="dxa"/>
            <w:vAlign w:val="bottom"/>
          </w:tcPr>
          <w:p>
            <w:pPr>
              <w:spacing w:after="0"/>
              <w:rPr>
                <w:sz w:val="11"/>
                <w:szCs w:val="11"/>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sive</w:t>
            </w:r>
          </w:p>
        </w:tc>
        <w:tc>
          <w:tcPr>
            <w:tcW w:w="100" w:type="dxa"/>
            <w:vAlign w:val="bottom"/>
          </w:tcPr>
          <w:p>
            <w:pPr>
              <w:spacing w:after="0"/>
              <w:rPr>
                <w:sz w:val="11"/>
                <w:szCs w:val="11"/>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rs’</w:t>
            </w:r>
          </w:p>
        </w:tc>
        <w:tc>
          <w:tcPr>
            <w:tcW w:w="0" w:type="dxa"/>
            <w:vAlign w:val="bottom"/>
          </w:tcPr>
          <w:p>
            <w:pPr>
              <w:spacing w:after="0"/>
              <w:rPr>
                <w:sz w:val="1"/>
                <w:szCs w:val="1"/>
                <w:color w:val="auto"/>
              </w:rPr>
            </w:pPr>
          </w:p>
        </w:tc>
      </w:tr>
      <w:tr>
        <w:trPr>
          <w:trHeight w:val="102"/>
        </w:trPr>
        <w:tc>
          <w:tcPr>
            <w:tcW w:w="1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ind w:left="140"/>
              <w:spacing w:after="0" w:line="102" w:lineRule="exact"/>
              <w:rPr>
                <w:sz w:val="20"/>
                <w:szCs w:val="20"/>
                <w:color w:val="auto"/>
              </w:rPr>
            </w:pPr>
            <w:r>
              <w:rPr>
                <w:rFonts w:ascii="Arial" w:cs="Arial" w:eastAsia="Arial" w:hAnsi="Arial"/>
                <w:sz w:val="11"/>
                <w:szCs w:val="11"/>
                <w:b w:val="1"/>
                <w:bCs w:val="1"/>
                <w:color w:val="auto"/>
              </w:rPr>
              <w:t>Amoun</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ind w:left="120"/>
              <w:spacing w:after="0" w:line="102" w:lineRule="exact"/>
              <w:rPr>
                <w:sz w:val="20"/>
                <w:szCs w:val="20"/>
                <w:color w:val="auto"/>
              </w:rPr>
            </w:pPr>
            <w:r>
              <w:rPr>
                <w:rFonts w:ascii="Arial" w:cs="Arial" w:eastAsia="Arial" w:hAnsi="Arial"/>
                <w:sz w:val="11"/>
                <w:szCs w:val="11"/>
                <w:b w:val="1"/>
                <w:bCs w:val="1"/>
                <w:color w:val="auto"/>
              </w:rPr>
              <w:t>Amoun</w:t>
            </w:r>
          </w:p>
        </w:tc>
        <w:tc>
          <w:tcPr>
            <w:tcW w:w="12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5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1"/>
                <w:szCs w:val="11"/>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5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t</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t</w:t>
            </w:r>
          </w:p>
        </w:tc>
        <w:tc>
          <w:tcPr>
            <w:tcW w:w="120" w:type="dxa"/>
            <w:vAlign w:val="bottom"/>
            <w:tcBorders>
              <w:right w:val="single" w:sz="8" w:color="auto"/>
            </w:tcBorders>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capital</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deficit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5"/>
              </w:rPr>
              <w:t>(loss)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8"/>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940" w:type="dxa"/>
            <w:vAlign w:val="bottom"/>
            <w:shd w:val="clear" w:color="auto" w:fill="CFF0FC"/>
          </w:tcPr>
          <w:p>
            <w:pPr>
              <w:spacing w:after="0" w:line="102" w:lineRule="exact"/>
              <w:rPr>
                <w:sz w:val="20"/>
                <w:szCs w:val="20"/>
                <w:color w:val="auto"/>
              </w:rPr>
            </w:pPr>
            <w:r>
              <w:rPr>
                <w:rFonts w:ascii="Arial" w:cs="Arial" w:eastAsia="Arial" w:hAnsi="Arial"/>
                <w:sz w:val="11"/>
                <w:szCs w:val="11"/>
                <w:b w:val="1"/>
                <w:bCs w:val="1"/>
                <w:color w:val="auto"/>
              </w:rPr>
              <w:t>Balance as of January 1, 2026</w:t>
            </w: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43,732,</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216,5</w:t>
            </w:r>
          </w:p>
        </w:tc>
        <w:tc>
          <w:tcPr>
            <w:tcW w:w="620" w:type="dxa"/>
            <w:vAlign w:val="bottom"/>
            <w:gridSpan w:val="2"/>
            <w:shd w:val="clear" w:color="auto" w:fill="CFF0FC"/>
          </w:tcPr>
          <w:p>
            <w:pPr>
              <w:jc w:val="right"/>
              <w:spacing w:after="0" w:line="102" w:lineRule="exact"/>
              <w:rPr>
                <w:sz w:val="20"/>
                <w:szCs w:val="20"/>
                <w:color w:val="auto"/>
              </w:rPr>
            </w:pPr>
            <w:r>
              <w:rPr>
                <w:rFonts w:ascii="Arial" w:cs="Arial" w:eastAsia="Arial" w:hAnsi="Arial"/>
                <w:sz w:val="11"/>
                <w:szCs w:val="11"/>
                <w:color w:val="auto"/>
              </w:rPr>
              <w:t>26,601,</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167,7</w:t>
            </w:r>
          </w:p>
        </w:tc>
        <w:tc>
          <w:tcPr>
            <w:tcW w:w="620" w:type="dxa"/>
            <w:vAlign w:val="bottom"/>
            <w:gridSpan w:val="2"/>
            <w:shd w:val="clear" w:color="auto" w:fill="CFF0FC"/>
          </w:tcPr>
          <w:p>
            <w:pPr>
              <w:jc w:val="right"/>
              <w:spacing w:after="0" w:line="102" w:lineRule="exact"/>
              <w:rPr>
                <w:sz w:val="20"/>
                <w:szCs w:val="20"/>
                <w:color w:val="auto"/>
              </w:rPr>
            </w:pPr>
            <w:r>
              <w:rPr>
                <w:rFonts w:ascii="Arial" w:cs="Arial" w:eastAsia="Arial" w:hAnsi="Arial"/>
                <w:sz w:val="11"/>
                <w:szCs w:val="11"/>
                <w:color w:val="auto"/>
              </w:rPr>
              <w:t>24,901,</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123,2</w:t>
            </w:r>
          </w:p>
        </w:tc>
        <w:tc>
          <w:tcPr>
            <w:tcW w:w="620" w:type="dxa"/>
            <w:vAlign w:val="bottom"/>
            <w:gridSpan w:val="2"/>
            <w:shd w:val="clear" w:color="auto" w:fill="CFF0FC"/>
          </w:tcPr>
          <w:p>
            <w:pPr>
              <w:jc w:val="right"/>
              <w:spacing w:after="0" w:line="102" w:lineRule="exact"/>
              <w:rPr>
                <w:sz w:val="20"/>
                <w:szCs w:val="20"/>
                <w:color w:val="auto"/>
              </w:rPr>
            </w:pPr>
            <w:r>
              <w:rPr>
                <w:rFonts w:ascii="Arial" w:cs="Arial" w:eastAsia="Arial" w:hAnsi="Arial"/>
                <w:sz w:val="11"/>
                <w:szCs w:val="11"/>
                <w:color w:val="auto"/>
              </w:rPr>
              <w:t>141,950</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196,0</w:t>
            </w:r>
          </w:p>
        </w:tc>
        <w:tc>
          <w:tcPr>
            <w:tcW w:w="120" w:type="dxa"/>
            <w:vAlign w:val="bottom"/>
            <w:tcBorders>
              <w:right w:val="single" w:sz="8" w:color="auto"/>
            </w:tcBorders>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2,306,2</w:t>
            </w:r>
          </w:p>
        </w:tc>
        <w:tc>
          <w:tcPr>
            <w:tcW w:w="1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797</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360</w:t>
            </w:r>
          </w:p>
        </w:tc>
        <w:tc>
          <w:tcPr>
            <w:tcW w:w="36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598</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,377</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w:t>
            </w:r>
          </w:p>
        </w:tc>
        <w:tc>
          <w:tcPr>
            <w:tcW w:w="120" w:type="dxa"/>
            <w:vAlign w:val="bottom"/>
            <w:tcBorders>
              <w:right w:val="single" w:sz="8" w:color="auto"/>
            </w:tcBorders>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07</w:t>
            </w:r>
          </w:p>
        </w:tc>
        <w:tc>
          <w:tcPr>
            <w:tcW w:w="420" w:type="dxa"/>
            <w:vAlign w:val="bottom"/>
            <w:gridSpan w:val="2"/>
            <w:shd w:val="clear" w:color="auto" w:fill="CFF0FC"/>
          </w:tcPr>
          <w:p>
            <w:pPr>
              <w:jc w:val="right"/>
              <w:ind w:right="18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79,616</w:t>
            </w: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 (568,139)</w:t>
            </w: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(488,278)</w:t>
            </w:r>
          </w:p>
        </w:tc>
        <w:tc>
          <w:tcPr>
            <w:tcW w:w="0" w:type="dxa"/>
            <w:vAlign w:val="bottom"/>
          </w:tcPr>
          <w:p>
            <w:pPr>
              <w:spacing w:after="0"/>
              <w:rPr>
                <w:sz w:val="1"/>
                <w:szCs w:val="1"/>
                <w:color w:val="auto"/>
              </w:rPr>
            </w:pPr>
          </w:p>
        </w:tc>
      </w:tr>
      <w:tr>
        <w:trPr>
          <w:trHeight w:val="122"/>
        </w:trPr>
        <w:tc>
          <w:tcPr>
            <w:tcW w:w="1940" w:type="dxa"/>
            <w:vAlign w:val="bottom"/>
          </w:tcPr>
          <w:p>
            <w:pPr>
              <w:spacing w:after="0" w:line="122" w:lineRule="exact"/>
              <w:rPr>
                <w:sz w:val="20"/>
                <w:szCs w:val="20"/>
                <w:color w:val="auto"/>
              </w:rPr>
            </w:pPr>
            <w:r>
              <w:rPr>
                <w:rFonts w:ascii="Arial" w:cs="Arial" w:eastAsia="Arial" w:hAnsi="Arial"/>
                <w:sz w:val="11"/>
                <w:szCs w:val="11"/>
                <w:color w:val="auto"/>
              </w:rPr>
              <w:t>Exercises of common stock options</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159,842</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651</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Vesting of restricted common stock</w:t>
            </w: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13,239</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94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2,587</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2,587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Exercise of common stock warrants</w:t>
            </w: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2,051</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940" w:type="dxa"/>
            <w:vAlign w:val="bottom"/>
          </w:tcPr>
          <w:p>
            <w:pPr>
              <w:spacing w:after="0" w:line="122" w:lineRule="exact"/>
              <w:rPr>
                <w:sz w:val="20"/>
                <w:szCs w:val="20"/>
                <w:color w:val="auto"/>
              </w:rPr>
            </w:pPr>
            <w:r>
              <w:rPr>
                <w:rFonts w:ascii="Arial" w:cs="Arial" w:eastAsia="Arial" w:hAnsi="Arial"/>
                <w:sz w:val="11"/>
                <w:szCs w:val="11"/>
                <w:color w:val="auto"/>
              </w:rPr>
              <w:t>Other comprehensive loss, net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(392)</w:t>
            </w:r>
          </w:p>
        </w:tc>
        <w:tc>
          <w:tcPr>
            <w:tcW w:w="10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(392)</w:t>
            </w: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Net loss</w:t>
            </w: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40"/>
              <w:spacing w:after="0" w:line="122" w:lineRule="exact"/>
              <w:rPr>
                <w:sz w:val="20"/>
                <w:szCs w:val="20"/>
                <w:color w:val="auto"/>
              </w:rPr>
            </w:pPr>
            <w:r>
              <w:rPr>
                <w:rFonts w:ascii="Arial" w:cs="Arial" w:eastAsia="Arial" w:hAnsi="Arial"/>
                <w:sz w:val="11"/>
                <w:szCs w:val="11"/>
                <w:color w:val="auto"/>
              </w:rPr>
              <w:t>(38,262)</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80"/>
              <w:spacing w:after="0" w:line="122" w:lineRule="exact"/>
              <w:rPr>
                <w:sz w:val="20"/>
                <w:szCs w:val="20"/>
                <w:color w:val="auto"/>
              </w:rPr>
            </w:pPr>
            <w:r>
              <w:rPr>
                <w:rFonts w:ascii="Arial" w:cs="Arial" w:eastAsia="Arial" w:hAnsi="Arial"/>
                <w:sz w:val="11"/>
                <w:szCs w:val="11"/>
                <w:color w:val="auto"/>
              </w:rPr>
              <w:t>(38,262)</w:t>
            </w:r>
          </w:p>
        </w:tc>
        <w:tc>
          <w:tcPr>
            <w:tcW w:w="0" w:type="dxa"/>
            <w:vAlign w:val="bottom"/>
          </w:tcPr>
          <w:p>
            <w:pPr>
              <w:spacing w:after="0"/>
              <w:rPr>
                <w:sz w:val="1"/>
                <w:szCs w:val="1"/>
                <w:color w:val="auto"/>
              </w:rPr>
            </w:pPr>
          </w:p>
        </w:tc>
      </w:tr>
      <w:tr>
        <w:trPr>
          <w:trHeight w:val="102"/>
        </w:trPr>
        <w:tc>
          <w:tcPr>
            <w:tcW w:w="194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Balance as of March 31, 2026</w:t>
            </w:r>
          </w:p>
        </w:tc>
        <w:tc>
          <w:tcPr>
            <w:tcW w:w="5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43,732,</w:t>
            </w:r>
          </w:p>
        </w:tc>
        <w:tc>
          <w:tcPr>
            <w:tcW w:w="120" w:type="dxa"/>
            <w:vAlign w:val="bottom"/>
            <w:tcBorders>
              <w:top w:val="single" w:sz="8" w:color="CFF0FC"/>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216,5</w:t>
            </w:r>
          </w:p>
        </w:tc>
        <w:tc>
          <w:tcPr>
            <w:tcW w:w="120" w:type="dxa"/>
            <w:vAlign w:val="bottom"/>
            <w:tcBorders>
              <w:top w:val="single" w:sz="8" w:color="CFF0FC"/>
            </w:tcBorders>
          </w:tcPr>
          <w:p>
            <w:pPr>
              <w:spacing w:after="0"/>
              <w:rPr>
                <w:sz w:val="8"/>
                <w:szCs w:val="8"/>
                <w:color w:val="auto"/>
              </w:rPr>
            </w:pPr>
          </w:p>
        </w:tc>
        <w:tc>
          <w:tcPr>
            <w:tcW w:w="5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26,601,</w:t>
            </w:r>
          </w:p>
        </w:tc>
        <w:tc>
          <w:tcPr>
            <w:tcW w:w="120" w:type="dxa"/>
            <w:vAlign w:val="bottom"/>
            <w:tcBorders>
              <w:top w:val="single" w:sz="8" w:color="CFF0FC"/>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167,7</w:t>
            </w:r>
          </w:p>
        </w:tc>
        <w:tc>
          <w:tcPr>
            <w:tcW w:w="120" w:type="dxa"/>
            <w:vAlign w:val="bottom"/>
            <w:tcBorders>
              <w:top w:val="single" w:sz="8" w:color="CFF0FC"/>
            </w:tcBorders>
          </w:tcPr>
          <w:p>
            <w:pPr>
              <w:spacing w:after="0"/>
              <w:rPr>
                <w:sz w:val="8"/>
                <w:szCs w:val="8"/>
                <w:color w:val="auto"/>
              </w:rPr>
            </w:pPr>
          </w:p>
        </w:tc>
        <w:tc>
          <w:tcPr>
            <w:tcW w:w="5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24,901,</w:t>
            </w:r>
          </w:p>
        </w:tc>
        <w:tc>
          <w:tcPr>
            <w:tcW w:w="12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123,2</w:t>
            </w:r>
          </w:p>
        </w:tc>
        <w:tc>
          <w:tcPr>
            <w:tcW w:w="100" w:type="dxa"/>
            <w:vAlign w:val="bottom"/>
            <w:tcBorders>
              <w:top w:val="single" w:sz="8" w:color="CFF0FC"/>
            </w:tcBorders>
          </w:tcPr>
          <w:p>
            <w:pPr>
              <w:spacing w:after="0"/>
              <w:rPr>
                <w:sz w:val="8"/>
                <w:szCs w:val="8"/>
                <w:color w:val="auto"/>
              </w:rPr>
            </w:pPr>
          </w:p>
        </w:tc>
        <w:tc>
          <w:tcPr>
            <w:tcW w:w="5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141,950</w:t>
            </w:r>
          </w:p>
        </w:tc>
        <w:tc>
          <w:tcPr>
            <w:tcW w:w="10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196,0</w:t>
            </w:r>
          </w:p>
        </w:tc>
        <w:tc>
          <w:tcPr>
            <w:tcW w:w="120" w:type="dxa"/>
            <w:vAlign w:val="bottom"/>
            <w:tcBorders>
              <w:top w:val="single" w:sz="8" w:color="CFF0FC"/>
              <w:right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2,481,3</w:t>
            </w:r>
          </w:p>
        </w:tc>
        <w:tc>
          <w:tcPr>
            <w:tcW w:w="120" w:type="dxa"/>
            <w:vAlign w:val="bottom"/>
            <w:tcBorders>
              <w:top w:val="single" w:sz="8" w:color="CFF0FC"/>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797</w:t>
            </w:r>
          </w:p>
        </w:tc>
        <w:tc>
          <w:tcPr>
            <w:tcW w:w="120" w:type="dxa"/>
            <w:vAlign w:val="bottom"/>
          </w:tcPr>
          <w:p>
            <w:pPr>
              <w:spacing w:after="0"/>
              <w:rPr>
                <w:sz w:val="11"/>
                <w:szCs w:val="11"/>
                <w:color w:val="auto"/>
              </w:rPr>
            </w:pPr>
          </w:p>
        </w:tc>
        <w:tc>
          <w:tcPr>
            <w:tcW w:w="240" w:type="dxa"/>
            <w:vAlign w:val="bottom"/>
          </w:tcPr>
          <w:p>
            <w:pPr>
              <w:ind w:left="12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360</w:t>
            </w:r>
          </w:p>
        </w:tc>
        <w:tc>
          <w:tcPr>
            <w:tcW w:w="120" w:type="dxa"/>
            <w:vAlign w:val="bottom"/>
          </w:tcPr>
          <w:p>
            <w:pPr>
              <w:spacing w:after="0"/>
              <w:rPr>
                <w:sz w:val="11"/>
                <w:szCs w:val="11"/>
                <w:color w:val="auto"/>
              </w:rPr>
            </w:pPr>
          </w:p>
        </w:tc>
        <w:tc>
          <w:tcPr>
            <w:tcW w:w="240" w:type="dxa"/>
            <w:vAlign w:val="bottom"/>
          </w:tcPr>
          <w:p>
            <w:pPr>
              <w:ind w:left="14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598</w:t>
            </w:r>
          </w:p>
        </w:tc>
        <w:tc>
          <w:tcPr>
            <w:tcW w:w="120" w:type="dxa"/>
            <w:vAlign w:val="bottom"/>
          </w:tcPr>
          <w:p>
            <w:pPr>
              <w:spacing w:after="0"/>
              <w:rPr>
                <w:sz w:val="11"/>
                <w:szCs w:val="11"/>
                <w:color w:val="auto"/>
              </w:rPr>
            </w:pPr>
          </w:p>
        </w:tc>
        <w:tc>
          <w:tcPr>
            <w:tcW w:w="220" w:type="dxa"/>
            <w:vAlign w:val="bottom"/>
          </w:tcPr>
          <w:p>
            <w:pPr>
              <w:ind w:left="12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,377</w:t>
            </w:r>
          </w:p>
        </w:tc>
        <w:tc>
          <w:tcPr>
            <w:tcW w:w="100" w:type="dxa"/>
            <w:vAlign w:val="bottom"/>
          </w:tcPr>
          <w:p>
            <w:pPr>
              <w:spacing w:after="0"/>
              <w:rPr>
                <w:sz w:val="11"/>
                <w:szCs w:val="11"/>
                <w:color w:val="auto"/>
              </w:rPr>
            </w:pPr>
          </w:p>
        </w:tc>
        <w:tc>
          <w:tcPr>
            <w:tcW w:w="220" w:type="dxa"/>
            <w:vAlign w:val="bottom"/>
          </w:tcPr>
          <w:p>
            <w:pPr>
              <w:ind w:left="12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31</w:t>
            </w:r>
          </w:p>
        </w:tc>
        <w:tc>
          <w:tcPr>
            <w:tcW w:w="120" w:type="dxa"/>
            <w:vAlign w:val="bottom"/>
            <w:tcBorders>
              <w:right w:val="single" w:sz="8" w:color="auto"/>
            </w:tcBorders>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39</w:t>
            </w:r>
          </w:p>
        </w:tc>
        <w:tc>
          <w:tcPr>
            <w:tcW w:w="42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82,854</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 (606,401 )</w:t>
            </w:r>
          </w:p>
        </w:tc>
        <w:tc>
          <w:tcPr>
            <w:tcW w:w="1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(523,694 )</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6"/>
              </w:rPr>
              <w:t>Accumulate</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Series A convertible</w:t>
            </w:r>
          </w:p>
        </w:tc>
        <w:tc>
          <w:tcPr>
            <w:tcW w:w="120" w:type="dxa"/>
            <w:vAlign w:val="bottom"/>
          </w:tcPr>
          <w:p>
            <w:pPr>
              <w:spacing w:after="0"/>
              <w:rPr>
                <w:sz w:val="10"/>
                <w:szCs w:val="10"/>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Series B convertible</w:t>
            </w:r>
          </w:p>
        </w:tc>
        <w:tc>
          <w:tcPr>
            <w:tcW w:w="120" w:type="dxa"/>
            <w:vAlign w:val="bottom"/>
          </w:tcPr>
          <w:p>
            <w:pPr>
              <w:spacing w:after="0"/>
              <w:rPr>
                <w:sz w:val="10"/>
                <w:szCs w:val="10"/>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Series C convertible</w:t>
            </w:r>
          </w:p>
        </w:tc>
        <w:tc>
          <w:tcPr>
            <w:tcW w:w="100" w:type="dxa"/>
            <w:vAlign w:val="bottom"/>
          </w:tcPr>
          <w:p>
            <w:pPr>
              <w:spacing w:after="0"/>
              <w:rPr>
                <w:sz w:val="10"/>
                <w:szCs w:val="10"/>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8"/>
              </w:rPr>
              <w:t>Series D convertible</w:t>
            </w:r>
          </w:p>
        </w:tc>
        <w:tc>
          <w:tcPr>
            <w:tcW w:w="1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0"/>
                <w:szCs w:val="10"/>
                <w:color w:val="auto"/>
              </w:rPr>
            </w:pPr>
          </w:p>
        </w:tc>
        <w:tc>
          <w:tcPr>
            <w:tcW w:w="6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Accumula</w:t>
            </w:r>
          </w:p>
        </w:tc>
        <w:tc>
          <w:tcPr>
            <w:tcW w:w="20" w:type="dxa"/>
            <w:vAlign w:val="bottom"/>
          </w:tcPr>
          <w:p>
            <w:pPr>
              <w:spacing w:after="0"/>
              <w:rPr>
                <w:sz w:val="9"/>
                <w:szCs w:val="9"/>
                <w:color w:val="auto"/>
              </w:rPr>
            </w:pPr>
          </w:p>
        </w:tc>
        <w:tc>
          <w:tcPr>
            <w:tcW w:w="76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rPr>
              <w:t>comprehen</w:t>
            </w:r>
          </w:p>
        </w:tc>
        <w:tc>
          <w:tcPr>
            <w:tcW w:w="72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stockholde</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22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7"/>
              </w:rPr>
              <w:t>preferred stock</w:t>
            </w:r>
          </w:p>
        </w:tc>
        <w:tc>
          <w:tcPr>
            <w:tcW w:w="1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paid-in</w:t>
            </w:r>
          </w:p>
        </w:tc>
        <w:tc>
          <w:tcPr>
            <w:tcW w:w="100" w:type="dxa"/>
            <w:vAlign w:val="bottom"/>
          </w:tcPr>
          <w:p>
            <w:pPr>
              <w:spacing w:after="0"/>
              <w:rPr>
                <w:sz w:val="11"/>
                <w:szCs w:val="11"/>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sive</w:t>
            </w:r>
          </w:p>
        </w:tc>
        <w:tc>
          <w:tcPr>
            <w:tcW w:w="100" w:type="dxa"/>
            <w:vAlign w:val="bottom"/>
          </w:tcPr>
          <w:p>
            <w:pPr>
              <w:spacing w:after="0"/>
              <w:rPr>
                <w:sz w:val="11"/>
                <w:szCs w:val="11"/>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rs’</w:t>
            </w:r>
          </w:p>
        </w:tc>
        <w:tc>
          <w:tcPr>
            <w:tcW w:w="0" w:type="dxa"/>
            <w:vAlign w:val="bottom"/>
          </w:tcPr>
          <w:p>
            <w:pPr>
              <w:spacing w:after="0"/>
              <w:rPr>
                <w:sz w:val="1"/>
                <w:szCs w:val="1"/>
                <w:color w:val="auto"/>
              </w:rPr>
            </w:pPr>
          </w:p>
        </w:tc>
      </w:tr>
      <w:tr>
        <w:trPr>
          <w:trHeight w:val="102"/>
        </w:trPr>
        <w:tc>
          <w:tcPr>
            <w:tcW w:w="1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ind w:left="140"/>
              <w:spacing w:after="0" w:line="102" w:lineRule="exact"/>
              <w:rPr>
                <w:sz w:val="20"/>
                <w:szCs w:val="20"/>
                <w:color w:val="auto"/>
              </w:rPr>
            </w:pPr>
            <w:r>
              <w:rPr>
                <w:rFonts w:ascii="Arial" w:cs="Arial" w:eastAsia="Arial" w:hAnsi="Arial"/>
                <w:sz w:val="11"/>
                <w:szCs w:val="11"/>
                <w:b w:val="1"/>
                <w:bCs w:val="1"/>
                <w:color w:val="auto"/>
              </w:rPr>
              <w:t>Amoun</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ind w:left="120"/>
              <w:spacing w:after="0" w:line="102" w:lineRule="exact"/>
              <w:rPr>
                <w:sz w:val="20"/>
                <w:szCs w:val="20"/>
                <w:color w:val="auto"/>
              </w:rPr>
            </w:pPr>
            <w:r>
              <w:rPr>
                <w:rFonts w:ascii="Arial" w:cs="Arial" w:eastAsia="Arial" w:hAnsi="Arial"/>
                <w:sz w:val="11"/>
                <w:szCs w:val="11"/>
                <w:b w:val="1"/>
                <w:bCs w:val="1"/>
                <w:color w:val="auto"/>
              </w:rPr>
              <w:t>Amoun</w:t>
            </w:r>
          </w:p>
        </w:tc>
        <w:tc>
          <w:tcPr>
            <w:tcW w:w="12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t</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t</w:t>
            </w:r>
          </w:p>
        </w:tc>
        <w:tc>
          <w:tcPr>
            <w:tcW w:w="12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capital</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8"/>
              </w:rPr>
              <w:t>deficit</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5"/>
              </w:rPr>
              <w:t>(loss)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8"/>
              </w:rPr>
              <w:t>deficit</w:t>
            </w:r>
          </w:p>
        </w:tc>
        <w:tc>
          <w:tcPr>
            <w:tcW w:w="0" w:type="dxa"/>
            <w:vAlign w:val="bottom"/>
          </w:tcPr>
          <w:p>
            <w:pPr>
              <w:spacing w:after="0"/>
              <w:rPr>
                <w:sz w:val="1"/>
                <w:szCs w:val="1"/>
                <w:color w:val="auto"/>
              </w:rPr>
            </w:pPr>
          </w:p>
        </w:tc>
      </w:tr>
      <w:tr>
        <w:trPr>
          <w:trHeight w:val="102"/>
        </w:trPr>
        <w:tc>
          <w:tcPr>
            <w:tcW w:w="1940" w:type="dxa"/>
            <w:vAlign w:val="bottom"/>
            <w:shd w:val="clear" w:color="auto" w:fill="CFF0FC"/>
          </w:tcPr>
          <w:p>
            <w:pPr>
              <w:spacing w:after="0" w:line="102" w:lineRule="exact"/>
              <w:rPr>
                <w:sz w:val="20"/>
                <w:szCs w:val="20"/>
                <w:color w:val="auto"/>
              </w:rPr>
            </w:pPr>
            <w:r>
              <w:rPr>
                <w:rFonts w:ascii="Arial" w:cs="Arial" w:eastAsia="Arial" w:hAnsi="Arial"/>
                <w:sz w:val="11"/>
                <w:szCs w:val="11"/>
                <w:b w:val="1"/>
                <w:bCs w:val="1"/>
                <w:color w:val="auto"/>
              </w:rPr>
              <w:t>Balance as of January 1, 2025</w:t>
            </w: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45,414,</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223,8</w:t>
            </w:r>
          </w:p>
        </w:tc>
        <w:tc>
          <w:tcPr>
            <w:tcW w:w="620" w:type="dxa"/>
            <w:vAlign w:val="bottom"/>
            <w:gridSpan w:val="2"/>
            <w:shd w:val="clear" w:color="auto" w:fill="CFF0FC"/>
          </w:tcPr>
          <w:p>
            <w:pPr>
              <w:jc w:val="right"/>
              <w:spacing w:after="0" w:line="102" w:lineRule="exact"/>
              <w:rPr>
                <w:sz w:val="20"/>
                <w:szCs w:val="20"/>
                <w:color w:val="auto"/>
              </w:rPr>
            </w:pPr>
            <w:r>
              <w:rPr>
                <w:rFonts w:ascii="Arial" w:cs="Arial" w:eastAsia="Arial" w:hAnsi="Arial"/>
                <w:sz w:val="11"/>
                <w:szCs w:val="11"/>
                <w:color w:val="auto"/>
              </w:rPr>
              <w:t>26,601,</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167,7</w:t>
            </w:r>
          </w:p>
        </w:tc>
        <w:tc>
          <w:tcPr>
            <w:tcW w:w="620" w:type="dxa"/>
            <w:vAlign w:val="bottom"/>
            <w:gridSpan w:val="2"/>
            <w:shd w:val="clear" w:color="auto" w:fill="CFF0FC"/>
          </w:tcPr>
          <w:p>
            <w:pPr>
              <w:jc w:val="right"/>
              <w:spacing w:after="0" w:line="102" w:lineRule="exact"/>
              <w:rPr>
                <w:sz w:val="20"/>
                <w:szCs w:val="20"/>
                <w:color w:val="auto"/>
              </w:rPr>
            </w:pPr>
            <w:r>
              <w:rPr>
                <w:rFonts w:ascii="Arial" w:cs="Arial" w:eastAsia="Arial" w:hAnsi="Arial"/>
                <w:sz w:val="11"/>
                <w:szCs w:val="11"/>
                <w:color w:val="auto"/>
              </w:rPr>
              <w:t>24,901,</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123,2</w:t>
            </w: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682</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360</w:t>
            </w:r>
          </w:p>
        </w:tc>
        <w:tc>
          <w:tcPr>
            <w:tcW w:w="36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598</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959,115</w:t>
            </w:r>
          </w:p>
        </w:tc>
        <w:tc>
          <w:tcPr>
            <w:tcW w:w="420" w:type="dxa"/>
            <w:vAlign w:val="bottom"/>
            <w:gridSpan w:val="2"/>
            <w:shd w:val="clear" w:color="auto" w:fill="CFF0FC"/>
          </w:tcPr>
          <w:p>
            <w:pPr>
              <w:jc w:val="right"/>
              <w:ind w:right="18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38,306</w:t>
            </w: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 (419,492)</w:t>
            </w: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(1,341)</w:t>
            </w: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(382,527)</w:t>
            </w:r>
          </w:p>
        </w:tc>
        <w:tc>
          <w:tcPr>
            <w:tcW w:w="0" w:type="dxa"/>
            <w:vAlign w:val="bottom"/>
          </w:tcPr>
          <w:p>
            <w:pPr>
              <w:spacing w:after="0"/>
              <w:rPr>
                <w:sz w:val="1"/>
                <w:szCs w:val="1"/>
                <w:color w:val="auto"/>
              </w:rPr>
            </w:pPr>
          </w:p>
        </w:tc>
      </w:tr>
      <w:tr>
        <w:trPr>
          <w:trHeight w:val="122"/>
        </w:trPr>
        <w:tc>
          <w:tcPr>
            <w:tcW w:w="1940" w:type="dxa"/>
            <w:vAlign w:val="bottom"/>
          </w:tcPr>
          <w:p>
            <w:pPr>
              <w:spacing w:after="0" w:line="122" w:lineRule="exact"/>
              <w:rPr>
                <w:sz w:val="20"/>
                <w:szCs w:val="20"/>
                <w:color w:val="auto"/>
              </w:rPr>
            </w:pPr>
            <w:r>
              <w:rPr>
                <w:rFonts w:ascii="Arial" w:cs="Arial" w:eastAsia="Arial" w:hAnsi="Arial"/>
                <w:sz w:val="11"/>
                <w:szCs w:val="11"/>
                <w:color w:val="auto"/>
              </w:rPr>
              <w:t>Exercises of common stock options</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8,985</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235</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Vesting of restricted common stock</w:t>
            </w: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23,967</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94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2,989</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2,989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Other comprehensive income, net</w:t>
            </w: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565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565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Net loss</w:t>
            </w: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gridSpan w:val="3"/>
          </w:tcPr>
          <w:p>
            <w:pPr>
              <w:jc w:val="right"/>
              <w:ind w:right="40"/>
              <w:spacing w:after="0" w:line="122" w:lineRule="exact"/>
              <w:rPr>
                <w:sz w:val="20"/>
                <w:szCs w:val="20"/>
                <w:color w:val="auto"/>
              </w:rPr>
            </w:pPr>
            <w:r>
              <w:rPr>
                <w:rFonts w:ascii="Arial" w:cs="Arial" w:eastAsia="Arial" w:hAnsi="Arial"/>
                <w:sz w:val="11"/>
                <w:szCs w:val="11"/>
                <w:color w:val="auto"/>
              </w:rPr>
              <w:t>(38,435)</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80"/>
              <w:spacing w:after="0" w:line="122" w:lineRule="exact"/>
              <w:rPr>
                <w:sz w:val="20"/>
                <w:szCs w:val="20"/>
                <w:color w:val="auto"/>
              </w:rPr>
            </w:pPr>
            <w:r>
              <w:rPr>
                <w:rFonts w:ascii="Arial" w:cs="Arial" w:eastAsia="Arial" w:hAnsi="Arial"/>
                <w:sz w:val="11"/>
                <w:szCs w:val="11"/>
                <w:color w:val="auto"/>
              </w:rPr>
              <w:t>(38,435)</w:t>
            </w:r>
          </w:p>
        </w:tc>
        <w:tc>
          <w:tcPr>
            <w:tcW w:w="0" w:type="dxa"/>
            <w:vAlign w:val="bottom"/>
          </w:tcPr>
          <w:p>
            <w:pPr>
              <w:spacing w:after="0"/>
              <w:rPr>
                <w:sz w:val="1"/>
                <w:szCs w:val="1"/>
                <w:color w:val="auto"/>
              </w:rPr>
            </w:pPr>
          </w:p>
        </w:tc>
      </w:tr>
      <w:tr>
        <w:trPr>
          <w:trHeight w:val="102"/>
        </w:trPr>
        <w:tc>
          <w:tcPr>
            <w:tcW w:w="1940" w:type="dxa"/>
            <w:vAlign w:val="bottom"/>
            <w:shd w:val="clear" w:color="auto" w:fill="CFF0FC"/>
          </w:tcPr>
          <w:p>
            <w:pPr>
              <w:spacing w:after="0" w:line="102" w:lineRule="exact"/>
              <w:rPr>
                <w:sz w:val="20"/>
                <w:szCs w:val="20"/>
                <w:color w:val="auto"/>
              </w:rPr>
            </w:pPr>
            <w:r>
              <w:rPr>
                <w:rFonts w:ascii="Arial" w:cs="Arial" w:eastAsia="Arial" w:hAnsi="Arial"/>
                <w:sz w:val="11"/>
                <w:szCs w:val="11"/>
                <w:b w:val="1"/>
                <w:bCs w:val="1"/>
                <w:color w:val="auto"/>
              </w:rPr>
              <w:t>Balance as of March 31, 2025</w:t>
            </w: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45,414,</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223,8</w:t>
            </w:r>
          </w:p>
        </w:tc>
        <w:tc>
          <w:tcPr>
            <w:tcW w:w="620" w:type="dxa"/>
            <w:vAlign w:val="bottom"/>
            <w:gridSpan w:val="2"/>
            <w:shd w:val="clear" w:color="auto" w:fill="CFF0FC"/>
          </w:tcPr>
          <w:p>
            <w:pPr>
              <w:jc w:val="right"/>
              <w:spacing w:after="0" w:line="102" w:lineRule="exact"/>
              <w:rPr>
                <w:sz w:val="20"/>
                <w:szCs w:val="20"/>
                <w:color w:val="auto"/>
              </w:rPr>
            </w:pPr>
            <w:r>
              <w:rPr>
                <w:rFonts w:ascii="Arial" w:cs="Arial" w:eastAsia="Arial" w:hAnsi="Arial"/>
                <w:sz w:val="11"/>
                <w:szCs w:val="11"/>
                <w:color w:val="auto"/>
              </w:rPr>
              <w:t>26,601,</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167,7</w:t>
            </w:r>
          </w:p>
        </w:tc>
        <w:tc>
          <w:tcPr>
            <w:tcW w:w="620" w:type="dxa"/>
            <w:vAlign w:val="bottom"/>
            <w:gridSpan w:val="2"/>
            <w:shd w:val="clear" w:color="auto" w:fill="CFF0FC"/>
          </w:tcPr>
          <w:p>
            <w:pPr>
              <w:jc w:val="right"/>
              <w:spacing w:after="0" w:line="102" w:lineRule="exact"/>
              <w:rPr>
                <w:sz w:val="20"/>
                <w:szCs w:val="20"/>
                <w:color w:val="auto"/>
              </w:rPr>
            </w:pPr>
            <w:r>
              <w:rPr>
                <w:rFonts w:ascii="Arial" w:cs="Arial" w:eastAsia="Arial" w:hAnsi="Arial"/>
                <w:sz w:val="11"/>
                <w:szCs w:val="11"/>
                <w:color w:val="auto"/>
              </w:rPr>
              <w:t>24,901,</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2" w:lineRule="exact"/>
              <w:rPr>
                <w:sz w:val="20"/>
                <w:szCs w:val="20"/>
                <w:color w:val="auto"/>
              </w:rPr>
            </w:pPr>
            <w:r>
              <w:rPr>
                <w:rFonts w:ascii="Arial" w:cs="Arial" w:eastAsia="Arial" w:hAnsi="Arial"/>
                <w:sz w:val="11"/>
                <w:szCs w:val="11"/>
                <w:color w:val="auto"/>
              </w:rPr>
              <w:t>123,2</w:t>
            </w: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682</w:t>
            </w:r>
          </w:p>
        </w:tc>
        <w:tc>
          <w:tcPr>
            <w:tcW w:w="360" w:type="dxa"/>
            <w:vAlign w:val="bottom"/>
            <w:tcBorders>
              <w:bottom w:val="single" w:sz="8" w:color="auto"/>
            </w:tcBorders>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360</w:t>
            </w:r>
          </w:p>
        </w:tc>
        <w:tc>
          <w:tcPr>
            <w:tcW w:w="360" w:type="dxa"/>
            <w:vAlign w:val="bottom"/>
            <w:tcBorders>
              <w:bottom w:val="single" w:sz="8" w:color="auto"/>
            </w:tcBorders>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598</w:t>
            </w:r>
          </w:p>
        </w:tc>
        <w:tc>
          <w:tcPr>
            <w:tcW w:w="340" w:type="dxa"/>
            <w:vAlign w:val="bottom"/>
            <w:tcBorders>
              <w:bottom w:val="single" w:sz="8" w:color="auto"/>
            </w:tcBorders>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gridSpan w:val="2"/>
            <w:shd w:val="clear" w:color="auto" w:fill="CFF0FC"/>
          </w:tcPr>
          <w:p>
            <w:pPr>
              <w:ind w:left="2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right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992,067</w:t>
            </w:r>
          </w:p>
        </w:tc>
        <w:tc>
          <w:tcPr>
            <w:tcW w:w="420" w:type="dxa"/>
            <w:vAlign w:val="bottom"/>
            <w:tcBorders>
              <w:bottom w:val="single" w:sz="8" w:color="auto"/>
            </w:tcBorders>
            <w:gridSpan w:val="2"/>
            <w:shd w:val="clear" w:color="auto" w:fill="CFF0FC"/>
          </w:tcPr>
          <w:p>
            <w:pPr>
              <w:jc w:val="right"/>
              <w:ind w:right="18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41,530</w:t>
            </w:r>
          </w:p>
        </w:tc>
        <w:tc>
          <w:tcPr>
            <w:tcW w:w="740" w:type="dxa"/>
            <w:vAlign w:val="bottom"/>
            <w:tcBorders>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 (457,927)</w:t>
            </w:r>
          </w:p>
        </w:tc>
        <w:tc>
          <w:tcPr>
            <w:tcW w:w="12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(776)</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(417,173)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-1619250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-1619250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-1619250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-1619250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-1619250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-1619250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-1619250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-1619250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-1619250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-1619250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-1619250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-1619250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-1619250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76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77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(38,262)</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(38,435)</w:t>
            </w: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7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1,171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1,299</w:t>
            </w:r>
          </w:p>
        </w:tc>
      </w:tr>
      <w:tr>
        <w:trPr>
          <w:trHeight w:val="189"/>
        </w:trPr>
        <w:tc>
          <w:tcPr>
            <w:tcW w:w="77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Loss (gain) from disposal of property and equipment</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495</w:t>
            </w:r>
          </w:p>
        </w:tc>
      </w:tr>
      <w:tr>
        <w:trPr>
          <w:trHeight w:val="189"/>
        </w:trPr>
        <w:tc>
          <w:tcPr>
            <w:tcW w:w="7760" w:type="dxa"/>
            <w:vAlign w:val="bottom"/>
          </w:tcPr>
          <w:p>
            <w:pPr>
              <w:ind w:left="280"/>
              <w:spacing w:after="0"/>
              <w:rPr>
                <w:sz w:val="20"/>
                <w:szCs w:val="20"/>
                <w:color w:val="auto"/>
              </w:rPr>
            </w:pPr>
            <w:r>
              <w:rPr>
                <w:rFonts w:ascii="Arial" w:cs="Arial" w:eastAsia="Arial" w:hAnsi="Arial"/>
                <w:sz w:val="16"/>
                <w:szCs w:val="16"/>
                <w:color w:val="auto"/>
              </w:rPr>
              <w:t>Right-of-use asset impairment expense</w:t>
            </w:r>
          </w:p>
        </w:tc>
        <w:tc>
          <w:tcPr>
            <w:tcW w:w="9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5,440</w:t>
            </w:r>
          </w:p>
        </w:tc>
      </w:tr>
      <w:tr>
        <w:trPr>
          <w:trHeight w:val="189"/>
        </w:trPr>
        <w:tc>
          <w:tcPr>
            <w:tcW w:w="77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Accretion of discount on marketable securities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r>
      <w:tr>
        <w:trPr>
          <w:trHeight w:val="189"/>
        </w:trPr>
        <w:tc>
          <w:tcPr>
            <w:tcW w:w="776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2,587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2,989</w:t>
            </w:r>
          </w:p>
        </w:tc>
      </w:tr>
      <w:tr>
        <w:trPr>
          <w:trHeight w:val="189"/>
        </w:trPr>
        <w:tc>
          <w:tcPr>
            <w:tcW w:w="77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Non-cash rent expense</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879</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1,024</w:t>
            </w:r>
          </w:p>
        </w:tc>
      </w:tr>
      <w:tr>
        <w:trPr>
          <w:trHeight w:val="189"/>
        </w:trPr>
        <w:tc>
          <w:tcPr>
            <w:tcW w:w="7760" w:type="dxa"/>
            <w:vAlign w:val="bottom"/>
          </w:tcPr>
          <w:p>
            <w:pPr>
              <w:ind w:left="280"/>
              <w:spacing w:after="0"/>
              <w:rPr>
                <w:sz w:val="20"/>
                <w:szCs w:val="20"/>
                <w:color w:val="auto"/>
              </w:rPr>
            </w:pPr>
            <w:r>
              <w:rPr>
                <w:rFonts w:ascii="Arial" w:cs="Arial" w:eastAsia="Arial" w:hAnsi="Arial"/>
                <w:sz w:val="16"/>
                <w:szCs w:val="16"/>
                <w:color w:val="auto"/>
              </w:rPr>
              <w:t>Change in fair value of contingent consideration and warrant liability</w:t>
            </w:r>
          </w:p>
        </w:tc>
        <w:tc>
          <w:tcPr>
            <w:tcW w:w="9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(5,648)</w:t>
            </w: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7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618</w:t>
            </w:r>
          </w:p>
        </w:tc>
      </w:tr>
      <w:tr>
        <w:trPr>
          <w:trHeight w:val="189"/>
        </w:trPr>
        <w:tc>
          <w:tcPr>
            <w:tcW w:w="77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non-current assets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w:t>
            </w:r>
          </w:p>
        </w:tc>
      </w:tr>
      <w:tr>
        <w:trPr>
          <w:trHeight w:val="189"/>
        </w:trPr>
        <w:tc>
          <w:tcPr>
            <w:tcW w:w="776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713</w:t>
            </w:r>
          </w:p>
        </w:tc>
      </w:tr>
      <w:tr>
        <w:trPr>
          <w:trHeight w:val="189"/>
        </w:trPr>
        <w:tc>
          <w:tcPr>
            <w:tcW w:w="77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Lease liabilities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w:t>
            </w:r>
          </w:p>
        </w:tc>
      </w:tr>
      <w:tr>
        <w:trPr>
          <w:trHeight w:val="189"/>
        </w:trPr>
        <w:tc>
          <w:tcPr>
            <w:tcW w:w="776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(4,766)</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w:t>
            </w:r>
          </w:p>
        </w:tc>
      </w:tr>
      <w:tr>
        <w:trPr>
          <w:trHeight w:val="183"/>
        </w:trPr>
        <w:tc>
          <w:tcPr>
            <w:tcW w:w="7760" w:type="dxa"/>
            <w:vAlign w:val="bottom"/>
            <w:tcBorders>
              <w:bottom w:val="single" w:sz="8" w:color="CFF0FC"/>
              <w:right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Net cash used in operating activities</w:t>
            </w:r>
          </w:p>
        </w:tc>
        <w:tc>
          <w:tcPr>
            <w:tcW w:w="9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(41,035)</w:t>
            </w:r>
          </w:p>
        </w:tc>
        <w:tc>
          <w:tcPr>
            <w:tcW w:w="1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(38,621)</w:t>
            </w: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Maturities of marketable securities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34,950</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35,000</w:t>
            </w: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(148)</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189"/>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Proceeds from sale of property and equipment</w:t>
            </w:r>
          </w:p>
        </w:tc>
        <w:tc>
          <w:tcPr>
            <w:tcW w:w="9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w:t>
            </w:r>
          </w:p>
        </w:tc>
      </w:tr>
      <w:tr>
        <w:trPr>
          <w:trHeight w:val="183"/>
        </w:trPr>
        <w:tc>
          <w:tcPr>
            <w:tcW w:w="7760" w:type="dxa"/>
            <w:vAlign w:val="bottom"/>
          </w:tcPr>
          <w:p>
            <w:pPr>
              <w:ind w:left="420"/>
              <w:spacing w:after="0" w:line="183" w:lineRule="exact"/>
              <w:rPr>
                <w:sz w:val="20"/>
                <w:szCs w:val="20"/>
                <w:color w:val="auto"/>
              </w:rPr>
            </w:pPr>
            <w:r>
              <w:rPr>
                <w:rFonts w:ascii="Arial" w:cs="Arial" w:eastAsia="Arial" w:hAnsi="Arial"/>
                <w:sz w:val="16"/>
                <w:szCs w:val="16"/>
                <w:color w:val="auto"/>
              </w:rPr>
              <w:t>Net cash provided by investing activities</w:t>
            </w: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34,802</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34,127</w:t>
            </w:r>
          </w:p>
        </w:tc>
      </w:tr>
      <w:tr>
        <w:trPr>
          <w:trHeight w:val="183"/>
        </w:trPr>
        <w:tc>
          <w:tcPr>
            <w:tcW w:w="77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Proceeds from the exercise of common stock options</w:t>
            </w:r>
          </w:p>
        </w:tc>
        <w:tc>
          <w:tcPr>
            <w:tcW w:w="9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235</w:t>
            </w: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Payment of deferred offering costs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Principal payments on finance leases</w:t>
            </w: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83"/>
        </w:trPr>
        <w:tc>
          <w:tcPr>
            <w:tcW w:w="7760" w:type="dxa"/>
            <w:vAlign w:val="bottom"/>
            <w:tcBorders>
              <w:bottom w:val="single" w:sz="8" w:color="CFF0FC"/>
              <w:right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484</w:t>
            </w:r>
          </w:p>
        </w:tc>
        <w:tc>
          <w:tcPr>
            <w:tcW w:w="1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200</w:t>
            </w: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color w:val="auto"/>
              </w:rPr>
              <w:t>Effect of exchange rate changes on cash, cash equivalents, and restricted cash</w:t>
            </w: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69</w:t>
            </w:r>
          </w:p>
        </w:tc>
      </w:tr>
      <w:tr>
        <w:trPr>
          <w:trHeight w:val="183"/>
        </w:trPr>
        <w:tc>
          <w:tcPr>
            <w:tcW w:w="7760" w:type="dxa"/>
            <w:vAlign w:val="bottom"/>
            <w:tcBorders>
              <w:right w:val="single" w:sz="8" w:color="CFF0FC"/>
            </w:tcBorders>
            <w:shd w:val="clear" w:color="auto" w:fill="CFF0FC"/>
          </w:tcPr>
          <w:p>
            <w:pPr>
              <w:ind w:left="420"/>
              <w:spacing w:after="0" w:line="183" w:lineRule="exact"/>
              <w:rPr>
                <w:sz w:val="20"/>
                <w:szCs w:val="20"/>
                <w:color w:val="auto"/>
              </w:rPr>
            </w:pPr>
            <w:r>
              <w:rPr>
                <w:rFonts w:ascii="Arial" w:cs="Arial" w:eastAsia="Arial" w:hAnsi="Arial"/>
                <w:sz w:val="16"/>
                <w:szCs w:val="16"/>
                <w:color w:val="auto"/>
              </w:rPr>
              <w:t>Decrease in cash, cash equivalents and restricted cash</w:t>
            </w:r>
          </w:p>
        </w:tc>
        <w:tc>
          <w:tcPr>
            <w:tcW w:w="9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(5,725)</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(4,225)</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44,897</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62,346</w:t>
            </w:r>
          </w:p>
        </w:tc>
      </w:tr>
      <w:tr>
        <w:trPr>
          <w:trHeight w:val="223"/>
        </w:trPr>
        <w:tc>
          <w:tcPr>
            <w:tcW w:w="7760" w:type="dxa"/>
            <w:vAlign w:val="bottom"/>
            <w:tcBorders>
              <w:right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Cash, cash equivalents and restricted cash, end of period</w:t>
            </w:r>
          </w:p>
        </w:tc>
        <w:tc>
          <w:tcPr>
            <w:tcW w:w="960" w:type="dxa"/>
            <w:vAlign w:val="bottom"/>
            <w:shd w:val="clear" w:color="auto" w:fill="CFF0FC"/>
          </w:tcPr>
          <w:p>
            <w:pPr>
              <w:jc w:val="right"/>
              <w:ind w:right="803"/>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39,172</w:t>
            </w:r>
          </w:p>
        </w:tc>
        <w:tc>
          <w:tcPr>
            <w:tcW w:w="5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58,121</w:t>
            </w:r>
          </w:p>
        </w:tc>
      </w:tr>
      <w:tr>
        <w:trPr>
          <w:trHeight w:val="170"/>
        </w:trPr>
        <w:tc>
          <w:tcPr>
            <w:tcW w:w="776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89"/>
        </w:trPr>
        <w:tc>
          <w:tcPr>
            <w:tcW w:w="77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35,719</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54,911</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Restricted cash, included in other non-current assets, end of period</w:t>
            </w: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3,453</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3,210</w:t>
            </w:r>
          </w:p>
        </w:tc>
      </w:tr>
      <w:tr>
        <w:trPr>
          <w:trHeight w:val="223"/>
        </w:trPr>
        <w:tc>
          <w:tcPr>
            <w:tcW w:w="7760" w:type="dxa"/>
            <w:vAlign w:val="bottom"/>
            <w:tcBorders>
              <w:right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cash, cash equivalents and restricted cash, end of period</w:t>
            </w:r>
          </w:p>
        </w:tc>
        <w:tc>
          <w:tcPr>
            <w:tcW w:w="960" w:type="dxa"/>
            <w:vAlign w:val="bottom"/>
            <w:shd w:val="clear" w:color="auto" w:fill="CFF0FC"/>
          </w:tcPr>
          <w:p>
            <w:pPr>
              <w:jc w:val="right"/>
              <w:ind w:right="803"/>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39,172</w:t>
            </w:r>
          </w:p>
        </w:tc>
        <w:tc>
          <w:tcPr>
            <w:tcW w:w="5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58,121</w:t>
            </w:r>
          </w:p>
        </w:tc>
      </w:tr>
      <w:tr>
        <w:trPr>
          <w:trHeight w:val="169"/>
        </w:trPr>
        <w:tc>
          <w:tcPr>
            <w:tcW w:w="776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89"/>
        </w:trPr>
        <w:tc>
          <w:tcPr>
            <w:tcW w:w="77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183"/>
        </w:trPr>
        <w:tc>
          <w:tcPr>
            <w:tcW w:w="7760" w:type="dxa"/>
            <w:vAlign w:val="bottom"/>
            <w:tcBorders>
              <w:right w:val="single" w:sz="8" w:color="CFF0FC"/>
            </w:tcBorders>
            <w:shd w:val="clear" w:color="auto" w:fill="CFF0FC"/>
          </w:tcPr>
          <w:p>
            <w:pPr>
              <w:ind w:left="140"/>
              <w:spacing w:after="0" w:line="183" w:lineRule="exact"/>
              <w:rPr>
                <w:sz w:val="20"/>
                <w:szCs w:val="20"/>
                <w:color w:val="auto"/>
              </w:rPr>
            </w:pPr>
            <w:r>
              <w:rPr>
                <w:rFonts w:ascii="Arial" w:cs="Arial" w:eastAsia="Arial" w:hAnsi="Arial"/>
                <w:sz w:val="16"/>
                <w:szCs w:val="16"/>
                <w:color w:val="auto"/>
              </w:rPr>
              <w:t>Cash paid for interest</w:t>
            </w: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w:t>
            </w:r>
          </w:p>
        </w:tc>
        <w:tc>
          <w:tcPr>
            <w:tcW w:w="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w:t>
            </w:r>
          </w:p>
        </w:tc>
      </w:tr>
      <w:tr>
        <w:trPr>
          <w:trHeight w:val="182"/>
        </w:trPr>
        <w:tc>
          <w:tcPr>
            <w:tcW w:w="776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189"/>
        </w:trPr>
        <w:tc>
          <w:tcPr>
            <w:tcW w:w="77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financing and investing activities: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Deferred offering costs included in accounts payable and accrued expenses and other current liabilities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1,603</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5,677</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183"/>
        </w:trPr>
        <w:tc>
          <w:tcPr>
            <w:tcW w:w="7760" w:type="dxa"/>
            <w:vAlign w:val="bottom"/>
            <w:tcBorders>
              <w:right w:val="single" w:sz="8" w:color="CFF0FC"/>
            </w:tcBorders>
            <w:shd w:val="clear" w:color="auto" w:fill="CFF0FC"/>
          </w:tcPr>
          <w:p>
            <w:pPr>
              <w:ind w:left="140"/>
              <w:spacing w:after="0" w:line="183" w:lineRule="exact"/>
              <w:rPr>
                <w:sz w:val="20"/>
                <w:szCs w:val="20"/>
                <w:color w:val="auto"/>
              </w:rPr>
            </w:pPr>
            <w:r>
              <w:rPr>
                <w:rFonts w:ascii="Arial" w:cs="Arial" w:eastAsia="Arial" w:hAnsi="Arial"/>
                <w:sz w:val="16"/>
                <w:szCs w:val="16"/>
                <w:color w:val="auto"/>
              </w:rPr>
              <w:t>Purchases of property and equipment included in accounts payable</w:t>
            </w: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183"/>
        </w:trPr>
        <w:tc>
          <w:tcPr>
            <w:tcW w:w="7760" w:type="dxa"/>
            <w:vAlign w:val="bottom"/>
          </w:tcPr>
          <w:p>
            <w:pPr>
              <w:ind w:left="140"/>
              <w:spacing w:after="0" w:line="183" w:lineRule="exact"/>
              <w:rPr>
                <w:sz w:val="20"/>
                <w:szCs w:val="20"/>
                <w:color w:val="auto"/>
              </w:rPr>
            </w:pPr>
            <w:r>
              <w:rPr>
                <w:rFonts w:ascii="Arial" w:cs="Arial" w:eastAsia="Arial" w:hAnsi="Arial"/>
                <w:sz w:val="16"/>
                <w:szCs w:val="16"/>
                <w:color w:val="auto"/>
              </w:rPr>
              <w:t>Right-of-use assets obtained in exchange for new finance lease liabilities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278</w:t>
            </w:r>
          </w:p>
        </w:tc>
        <w:tc>
          <w:tcPr>
            <w:tcW w:w="52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183"/>
        </w:trPr>
        <w:tc>
          <w:tcPr>
            <w:tcW w:w="7760" w:type="dxa"/>
            <w:vAlign w:val="bottom"/>
            <w:tcBorders>
              <w:right w:val="single" w:sz="8" w:color="CFF0FC"/>
            </w:tcBorders>
            <w:shd w:val="clear" w:color="auto" w:fill="CFF0FC"/>
          </w:tcPr>
          <w:p>
            <w:pPr>
              <w:ind w:left="140"/>
              <w:spacing w:after="0" w:line="183" w:lineRule="exact"/>
              <w:rPr>
                <w:sz w:val="20"/>
                <w:szCs w:val="20"/>
                <w:color w:val="auto"/>
              </w:rPr>
            </w:pPr>
            <w:r>
              <w:rPr>
                <w:rFonts w:ascii="Arial" w:cs="Arial" w:eastAsia="Arial" w:hAnsi="Arial"/>
                <w:sz w:val="16"/>
                <w:szCs w:val="16"/>
                <w:color w:val="auto"/>
              </w:rPr>
              <w:t>Remeasurement of right-of-use assets and lease liabilities</w:t>
            </w: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182"/>
        </w:trPr>
        <w:tc>
          <w:tcPr>
            <w:tcW w:w="7760" w:type="dxa"/>
            <w:vAlign w:val="bottom"/>
          </w:tcPr>
          <w:p>
            <w:pPr>
              <w:ind w:left="140"/>
              <w:spacing w:after="0" w:line="183" w:lineRule="exact"/>
              <w:rPr>
                <w:sz w:val="20"/>
                <w:szCs w:val="20"/>
                <w:color w:val="auto"/>
              </w:rPr>
            </w:pPr>
            <w:r>
              <w:rPr>
                <w:rFonts w:ascii="Arial" w:cs="Arial" w:eastAsia="Arial" w:hAnsi="Arial"/>
                <w:sz w:val="16"/>
                <w:szCs w:val="16"/>
                <w:color w:val="auto"/>
              </w:rPr>
              <w:t>Unrealized loss on marketable securities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180</w:t>
            </w:r>
          </w:p>
        </w:tc>
        <w:tc>
          <w:tcPr>
            <w:tcW w:w="52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43</w:t>
            </w:r>
          </w:p>
        </w:tc>
      </w:tr>
      <w:tr>
        <w:trPr>
          <w:trHeight w:val="20"/>
        </w:trPr>
        <w:tc>
          <w:tcPr>
            <w:tcW w:w="77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-3659505</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-3171190</wp:posOffset>
            </wp:positionV>
            <wp:extent cx="111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-2425065</wp:posOffset>
            </wp:positionV>
            <wp:extent cx="111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-1919605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-1902460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-1405255</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-1388110</wp:posOffset>
            </wp:positionV>
            <wp:extent cx="111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-890905</wp:posOffset>
            </wp:positionV>
            <wp:extent cx="111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-393700</wp:posOffset>
            </wp:positionV>
            <wp:extent cx="111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-136525</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Odyssey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153" w:lineRule="exact"/>
        <w:rPr>
          <w:sz w:val="20"/>
          <w:szCs w:val="20"/>
          <w:color w:val="auto"/>
        </w:rPr>
      </w:pPr>
    </w:p>
    <w:p>
      <w:pPr>
        <w:ind w:left="760" w:hanging="752"/>
        <w:spacing w:after="0"/>
        <w:tabs>
          <w:tab w:leader="none" w:pos="7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Liquidity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Odyssey Therapeutics, Inc. (the “Company”) is a clinical-stage biopharmaceutical company seeking to transform the standard of care for patients suffering from autoimmune and inflammatory diseases. To accomplish this, the Company is developing medicines that are designed to precisely target disease pathology with an initial emphasis on the innate immune system.</w:t>
      </w:r>
    </w:p>
    <w:p>
      <w:pPr>
        <w:spacing w:after="0" w:line="16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completion of preclinical studies and clinical trials, obtaining regulatory approval for product candidates, development by competitors of new technological innovations, dependence on key personnel, protection of proprietary technology, compliance with government regulations and ability to secure additional capital to fund operations. Product candidates currently under development by the Company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and reporting capabilities. Even if product development efforts are successful, it is uncertain when, if ever, the Company will realize significant revenue from product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May 1, 2026, the Company effected a 1-for-9.7170 reverse stock split of its issued and outstanding shares of voting common stock, which also resulted in a proportional adjustment to the conversion ratio for its non-voting common stock, to the existing conversion ratios of each series of its convertible preferred stock, and to the exercise prices and number of outstanding common stock warrants and stock options. Accordingly, all shares of voting common stock, stock options and common stock warrants, the as-converted preferred stock, and per share information presented in the accompanying condensed consolidated financial statements and notes thereto have been retroactively adjusted, where applicable, to reflect the reverse stock split. The per share par value and authorized number of shares of the Company’s common stock were not adjusted as a result of the split.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1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May 2026, the Company completed its initial public offering (“IPO”), in which the Company sold 15,500,000 shares of its common stock at a public offering price of $18.00 per share resulting in aggregate net proceeds of approximately $255.4 million, after deducting underwriter discounts and commissions and other estimated offering expenses. Additionally, the Company sold 1,388,889 shares of its common stock in a concurrent private placement at a per share price equal to the public offering price paid in the IPO, resulting in additional net proceeds of approximately $23.3 million after deducting placement agent fees. In June 2026, the Company also sold an additional 600,000 shares of its common stock to the underwriters at a public offering price of $18.00 per share under the option granted to the underwriters, resulting in aggregate net proceeds of approximately $10.0 million, after deducting underwriter discounts and commissions.</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Immediately prior to the closing of the IPO, the Company’s outstanding convertible preferred stock automatically converted into 24,596,000 shares of common stock, the Company’s outstanding convertible preferred stock warrants converted into 1,742 warrants to purchase common stock, and the Company’s outstanding common stock warrants were automatically exercised on a net exercise basis into 3,287,352 shares of common stock. Further, the Company’s outstanding non-voting common stock was automatically converted into an aggregate of 8,359 shares of its common stock immediately upon the closing of the IPO. Following the closing of the IPO, no shares of convertible preferred stock were outstanding. In connection with the closing of the IPO, the Company’s certificate of incorporation was amended and restated to authorize 500,000,000 shares of common stock, par value $0.0001 per share and 50,000,000 shares of undesignated preferred stock, par value $0.0001 per share.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1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applicable to a going concern, which contemplates the realization of assets and the satisfaction of liabilities in the ordinary course of business.</w:t>
      </w:r>
    </w:p>
    <w:p>
      <w:pPr>
        <w:spacing w:after="0" w:line="169"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Since its inception, the Company has devoted substantially all of its resources to business planning, research and development activities, recruiting management and technical staff, raising capital, producing materials for preclinical studies and clinical trials, developing and establishing the Company’s intellectual property portfolio, entering into collaboration agreements, acquiring companies or assets to further the Company’s development programs and building infrastructure to support such activities. The Company has financed its operations primarily through the sale of shares of convertible preferred stock, the proceeds from research collaborations and license agreements, and through the sale of its common stock in its IPO and concurrent private placement completed in May 2026.</w:t>
      </w:r>
    </w:p>
    <w:p>
      <w:pPr>
        <w:spacing w:after="0" w:line="17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Upon closing of the IPO and concurrent private placement, and receipt of the associated cash proceeds, the Company believes the conditions that raised substantial doubt have been resolved. The Company believes that its existing cash, cash equivalents and marketable securities of $175.7 million as of March 31, 2026, together with the additional net proceeds of $288.7 million received from the IPO, concurrent private placement and the underwriters' exercise of the option to purchase additional shares of common stock, will be sufficient to allow the Company to fund operations at least twelve months from the date that the condensed consolidated financial statements are issued.</w:t>
      </w:r>
    </w:p>
    <w:p>
      <w:pPr>
        <w:spacing w:after="0" w:line="176" w:lineRule="exact"/>
        <w:rPr>
          <w:sz w:val="20"/>
          <w:szCs w:val="20"/>
          <w:color w:val="auto"/>
        </w:rPr>
      </w:pPr>
    </w:p>
    <w:p>
      <w:pPr>
        <w:ind w:left="760" w:hanging="752"/>
        <w:spacing w:after="0"/>
        <w:tabs>
          <w:tab w:leader="none" w:pos="7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significant accounting policies are disclosed in Note 2 to the audited financial statements for the year ended December 31, 2025, included in the Company’s final prospectus filed pursuant to Rule 424(b)(4) under the Securities Act of 1933, as amended (the “Securities Act”), with the Securities and Exchange Commission on May 8, 2026 (the “IPO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1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accompanying unaudited condensed consolidated financial statements as of March 31, 2026 and for the three months ended March 31, 2026 and 2025 have been prepared in accordance with U.S. generally accepted accounting principles (“U.S. GAAP”) for interim financial information and pursuant to Article 10 of Regulation S-X of the Securities Exchange Act of 1934, as amended. Accordingly, they do not include all of the information and notes required by U.S. GAAP for complete financial statements. These unaudited condensed consolidated financial statements include only normal and recurring adjustments that the Company believes are necessary to fairly state the Company’s financial position and the results of its operations and cash flows. The results for the three months ended March 31, 2026 are not necessarily indicative of the results expected for the full fiscal year or any subsequent interim period. The condensed consolidated balance sheet at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for the year ended December 31, 2025 included in the IPO Prospectus. Any reference in these notes to applicable guidance is meant to refer to the authoritative GAAP as found in the Accounting Standards Codification (“ASC”), and Accounting Standards Updates (“ASU”), of the Financial Accounting Standards Board (“FASB”).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These condensed consolidated financial statements include the accounts of Odyssey Therapeutics, Inc. and its wholly owned subsidiaries.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Updates Not Yet Adopted</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From time to time, new accounting pronouncements are issued by the FASB, or other standard-setting bodies that are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9" w:right="359" w:bottom="1440" w:gutter="0" w:footer="0" w:header="0"/>
        </w:sectPr>
      </w:pPr>
    </w:p>
    <w:bookmarkStart w:id="11" w:name="page12"/>
    <w:bookmarkEnd w:id="11"/>
    <w:p>
      <w:pPr>
        <w:jc w:val="both"/>
        <w:ind w:right="620"/>
        <w:spacing w:after="0" w:line="253" w:lineRule="auto"/>
        <w:rPr>
          <w:sz w:val="20"/>
          <w:szCs w:val="20"/>
          <w:color w:val="auto"/>
        </w:rPr>
      </w:pPr>
      <w:r>
        <w:rPr>
          <w:rFonts w:ascii="Arial" w:cs="Arial" w:eastAsia="Arial" w:hAnsi="Arial"/>
          <w:sz w:val="18"/>
          <w:szCs w:val="18"/>
          <w:color w:val="auto"/>
        </w:rPr>
        <w:t>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financial position or results of operations upon adoption.</w:t>
      </w:r>
    </w:p>
    <w:p>
      <w:pPr>
        <w:spacing w:after="0" w:line="16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or ASU 2024-03, which is intended to provide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specified categories of expenses (purchases of inventory, employee compensation, depreciation, and amortization) included in certain expense captions presented on the statement of operations.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spacing w:after="0" w:line="180" w:lineRule="exact"/>
        <w:rPr>
          <w:sz w:val="20"/>
          <w:szCs w:val="20"/>
          <w:color w:val="auto"/>
        </w:rPr>
      </w:pPr>
    </w:p>
    <w:p>
      <w:pPr>
        <w:ind w:left="760" w:hanging="752"/>
        <w:spacing w:after="0"/>
        <w:tabs>
          <w:tab w:leader="none" w:pos="7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w:t>
      </w:r>
    </w:p>
    <w:p>
      <w:pPr>
        <w:spacing w:after="0" w:line="212"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The Company’s goodwill and intangible asset relate to the purchase of Rahko Limited (“Rahko”) in 2021, which was accounted for as a business combination.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8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11"/>
        </w:trPr>
        <w:tc>
          <w:tcPr>
            <w:tcW w:w="7280" w:type="dxa"/>
            <w:vAlign w:val="bottom"/>
          </w:tcPr>
          <w:p>
            <w:pPr>
              <w:spacing w:after="0"/>
              <w:rPr>
                <w:sz w:val="20"/>
                <w:szCs w:val="20"/>
                <w:color w:val="auto"/>
              </w:rPr>
            </w:pPr>
            <w:r>
              <w:rPr>
                <w:rFonts w:ascii="Arial" w:cs="Arial" w:eastAsia="Arial" w:hAnsi="Arial"/>
                <w:sz w:val="18"/>
                <w:szCs w:val="18"/>
                <w:color w:val="auto"/>
              </w:rPr>
              <w:t>Goodwill and the effect of foreign currency translation is as follows:</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09"/>
        </w:trPr>
        <w:tc>
          <w:tcPr>
            <w:tcW w:w="7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7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2026</w:t>
            </w:r>
          </w:p>
        </w:tc>
      </w:tr>
      <w:tr>
        <w:trPr>
          <w:trHeight w:val="196"/>
        </w:trPr>
        <w:tc>
          <w:tcPr>
            <w:tcW w:w="7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Goodwill balance as of January 1, 2026</w:t>
            </w:r>
          </w:p>
        </w:tc>
        <w:tc>
          <w:tcPr>
            <w:tcW w:w="2140" w:type="dxa"/>
            <w:vAlign w:val="bottom"/>
            <w:gridSpan w:val="2"/>
            <w:shd w:val="clear" w:color="auto" w:fill="CFF0FC"/>
          </w:tcPr>
          <w:p>
            <w:pPr>
              <w:ind w:left="1940"/>
              <w:spacing w:after="0" w:line="196" w:lineRule="exact"/>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14,327</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Effect of foreign currency translation</w:t>
            </w:r>
          </w:p>
        </w:tc>
        <w:tc>
          <w:tcPr>
            <w:tcW w:w="1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w:t>
            </w:r>
          </w:p>
        </w:tc>
      </w:tr>
      <w:tr>
        <w:trPr>
          <w:trHeight w:val="236"/>
        </w:trPr>
        <w:tc>
          <w:tcPr>
            <w:tcW w:w="7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Goodwill balance as of March 31, 2026</w:t>
            </w:r>
          </w:p>
        </w:tc>
        <w:tc>
          <w:tcPr>
            <w:tcW w:w="19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14,072</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w:t>
      </w:r>
    </w:p>
    <w:p>
      <w:pPr>
        <w:spacing w:after="0" w:line="21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Company’s intangible asset is comprised solely of developed technology and is being amortized using the straight-line method which reflects the pattern in which the economic benefits of the asset are consumed, over its estimated useful life of five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intangible asset, current and future amortization, and the effect of foreign currency translation:</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March 31, 2026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Intangible asset balance as of January 1, 2026</w:t>
            </w:r>
          </w:p>
        </w:tc>
        <w:tc>
          <w:tcPr>
            <w:tcW w:w="27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line="202" w:lineRule="exact"/>
              <w:rPr>
                <w:sz w:val="20"/>
                <w:szCs w:val="20"/>
                <w:color w:val="auto"/>
              </w:rPr>
            </w:pPr>
            <w:r>
              <w:rPr>
                <w:rFonts w:ascii="Arial" w:cs="Arial" w:eastAsia="Arial" w:hAnsi="Arial"/>
                <w:sz w:val="18"/>
                <w:szCs w:val="18"/>
                <w:color w:val="auto"/>
              </w:rPr>
              <w:t>Effect of foreign currency translation</w:t>
            </w:r>
          </w:p>
        </w:tc>
        <w:tc>
          <w:tcPr>
            <w:tcW w:w="2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Intangible asset balance as of March 31, 2026</w:t>
            </w:r>
          </w:p>
        </w:tc>
        <w:tc>
          <w:tcPr>
            <w:tcW w:w="26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Pr>
          <w:p>
            <w:pPr>
              <w:spacing w:after="0" w:line="196" w:lineRule="exact"/>
              <w:rPr>
                <w:sz w:val="20"/>
                <w:szCs w:val="20"/>
                <w:color w:val="auto"/>
              </w:rPr>
            </w:pPr>
            <w:r>
              <w:rPr>
                <w:rFonts w:ascii="Arial" w:cs="Arial" w:eastAsia="Arial" w:hAnsi="Arial"/>
                <w:sz w:val="18"/>
                <w:szCs w:val="18"/>
                <w:color w:val="auto"/>
              </w:rPr>
              <w:t>Accumulated amortization</w:t>
            </w:r>
          </w:p>
        </w:tc>
        <w:tc>
          <w:tcPr>
            <w:tcW w:w="2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Intangible asset, net</w:t>
            </w:r>
          </w:p>
        </w:tc>
        <w:tc>
          <w:tcPr>
            <w:tcW w:w="27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00" w:type="dxa"/>
            <w:vAlign w:val="bottom"/>
            <w:tcBorders>
              <w:top w:val="single" w:sz="8" w:color="CFF0FC"/>
            </w:tcBorders>
          </w:tcPr>
          <w:p>
            <w:pPr>
              <w:spacing w:after="0"/>
              <w:rPr>
                <w:sz w:val="15"/>
                <w:szCs w:val="15"/>
                <w:color w:val="auto"/>
              </w:rPr>
            </w:pPr>
          </w:p>
        </w:tc>
        <w:tc>
          <w:tcPr>
            <w:tcW w:w="26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Future amortization:</w:t>
            </w:r>
          </w:p>
        </w:tc>
        <w:tc>
          <w:tcPr>
            <w:tcW w:w="2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future amortization</w:t>
            </w:r>
          </w:p>
        </w:tc>
        <w:tc>
          <w:tcPr>
            <w:tcW w:w="27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Collaboration and License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MTA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2" w:name="page13"/>
    <w:bookmarkEnd w:id="12"/>
    <w:p>
      <w:pPr>
        <w:ind w:right="260"/>
        <w:spacing w:after="0" w:line="247" w:lineRule="auto"/>
        <w:rPr>
          <w:sz w:val="20"/>
          <w:szCs w:val="20"/>
          <w:color w:val="auto"/>
        </w:rPr>
      </w:pPr>
      <w:r>
        <w:rPr>
          <w:rFonts w:ascii="Arial" w:cs="Arial" w:eastAsia="Arial" w:hAnsi="Arial"/>
          <w:sz w:val="18"/>
          <w:szCs w:val="18"/>
          <w:color w:val="auto"/>
        </w:rPr>
        <w:t>In December 2022, the Company entered into a material transfer and evaluation agreement (the “Pfizer MTA”) with Pfizer, Inc. (“Pfizer”) in which the Company granted to Pfizer a nonexclusive license to access the Company’s intellectual property. Under the Pfizer MTA, the Company and Pfizer will jointly conduct research to identify novel hits using the Company’s natural product platform to initiate a preclinical drug discovery program against an oncogenic transcription factor.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determined that the Pfizer MTA represents a contract with a customer and consists of one combined performance obligation for the nonexclusive license and the promise to provide research and development services (“R&amp;D services”) to Pfizer, as the license and promise are not capable of being distinct in the context of the contract. The Pfizer MTA was for an initial period of two and one-half years or upon completion of the research if completed or terminated earlier. In addition, the Pfizer MTA contains two options that require the Company to provide further R&amp;D services to Pfizer (the “First Pfizer Option” and “Second Pfizer Option”, collectively the “Pfizer Options”). The Company evaluated the options to continue the R&amp;D services and concluded that these options did not represent material rights, as they were deemed to be for additional R&amp;D services that are at their standalone selling price.</w:t>
      </w:r>
    </w:p>
    <w:p>
      <w:pPr>
        <w:spacing w:after="0" w:line="185"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2023, Pfizer paid the Company a nonrefundable upfront payment of $1.0 million in exchange for the nonexclusive license as well as R&amp;D services performed by the Company over the initial period and the First Pfizer Option was exercised. In December 2024, the Second Pfizer Option was exercised. The total transaction price under the Pfizer MTA was determined to be $1.9 million after the exercises of the options. Revenue from the Pfizer MTA was recognized over the estimated performance of the R&amp;D services using the time-elapsed input method.</w:t>
      </w:r>
    </w:p>
    <w:p>
      <w:pPr>
        <w:ind w:right="100"/>
        <w:spacing w:after="0"/>
        <w:rPr>
          <w:sz w:val="20"/>
          <w:szCs w:val="20"/>
          <w:color w:val="auto"/>
        </w:rPr>
      </w:pPr>
      <w:r>
        <w:rPr>
          <w:rFonts w:ascii="Arial" w:cs="Arial" w:eastAsia="Arial" w:hAnsi="Arial"/>
          <w:sz w:val="18"/>
          <w:szCs w:val="18"/>
          <w:color w:val="auto"/>
        </w:rPr>
        <w:t>The Company recognized $0.4 million of revenue associated with the Pfizer MTA during the three months ended March 31, 2025, which is included in collaboration revenue on the condensed consolidated statements of operations and comprehensive loss. The Company fulfilled all of its obligations under the Pfizer MTA during the year ended December 31, 2025, and as such no revenue has been recorded during the three months ended March 31, 2026.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Collaboration, Option, and License Agreement</w:t>
      </w:r>
    </w:p>
    <w:p>
      <w:pPr>
        <w:spacing w:after="0" w:line="21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March 29, 2024, the Company entered into a strategic collaboration, option and license agreement (the “J&amp;J Agreement”) with Janssen Pharmaceutica NV, a Johnson &amp; Johnson company (“J&amp;J”) to jointly discover and optimize small-molecule medicines against select therapeutic targets using the Company’s artificial intelligence and machine learning capability.</w:t>
      </w:r>
    </w:p>
    <w:p>
      <w:pPr>
        <w:spacing w:after="0" w:line="16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Each party granted to the other party a non-exclusive, royalty-free, worldwide license (the “Research License”) to certain intellectual property in connection with the other party’s research activities under the J&amp;J Agreement (the “Initial R&amp;D Services”). The Company also granted J&amp;J an option to obtain an exclusive commercial license with respect to each program within a specified time period. On a program-by-program basis, if J&amp;J elects to exercise such option or if J&amp;J initiates certain research activities for a program (without exercising such option), the Company would be entitled to a payment in the mid-single digit millions of dollars. J&amp;J may elect up to four replacement targets prior to the earlier of the end of the research term or exercise of the option to obtain a commercial license.</w:t>
      </w:r>
    </w:p>
    <w:p>
      <w:pPr>
        <w:spacing w:after="0" w:line="17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J&amp;J paid the Company a nonrefundable upfront payment of $6.5 million in connection with the entry into the J&amp;J Agreement and the Company is also eligible to receive reimbursement for additional R&amp;D services conducted incremental to the initial R&amp;D services. The Company will be eligible to receive, subject to the achievement of certain research, development, commercialization approval and sales milestones and the option exercise described below, additional milestone payments in an aggregate amount of approximately $839.0 million from J&amp;J. The Company will also be eligible to receive low to mid-single digit percentage in tiered royalties based on the aggregate net sales of certain products that arise from the J&amp;J Agreement, if approved (subject to certain deductions). The applicable royalties will be payable to the Company in a given country commencing on the date of first commercial sale of a royalty product in such country and ending upon the latest of (i) the date of expiration of the last-to-expire valid claim included in certain intellectual property, (ii) a designated period of time following the first commercial sale in such country and (iii) the date of expiration of all regulatory exclusivity for the applicable product in such country.</w:t>
      </w:r>
    </w:p>
    <w:p>
      <w:pPr>
        <w:spacing w:after="0" w:line="180"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The Company determined that the J&amp;J Agreement represents a contract with a customer and consisted of two distinct and single performance obligations: (i) the grant of the research licenses, the transfer of the research materials, project governance through the JRC and the promise to provide certain research services which were combined as a single performance obligation (the “First Performance Obligation”) and (ii) the grant of the research licenses, the transfer of research materials, project governance through the JRC and the promise to provide certain other research services which are combined as a single performance obligation (the “Second Performance Obligation”).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Revenue from the J&amp;J Agreement was recognized over the estimated performance of the initial research and development services using the cost incurred input method, which the Company believes best depicts the transfer of control to J&amp;J. The Company recognized $1.5 million of revenue associated with the J&amp;J Agreement during the three months ended March 31, 2025, of which $1.0 million is related to the First Performance Obligation and $0.5 million is related to the Second Performance Obligation, and is recorded as collaboration revenue on the condensed consolidated statements of operations and comprehensive loss. The Company fulfilled all of its obligations under the J&amp;J Agreement during the year ended December 31, 2025, and as such no revenue has been recorded during the three months ended March 31, 2026.</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To date there have been no development, commercial, and sales-based milestone payments or royalties based on sales achieved under the J&amp;J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 and Accounts Receivable</w:t>
      </w:r>
    </w:p>
    <w:p>
      <w:pPr>
        <w:spacing w:after="0" w:line="21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Deferred revenue associated with collaboration and license agreements is recorded within accrued expenses and other current liabilities on the condensed consolidated balance sheets (see Note 8). The following table summarizes the changes in deferred revenue for the three months ended March 31, 2025. There was no deferred revenue recorded as of December 31, 2025 and March 31, 2026:</w:t>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Beginning balance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rPr>
          <w:sz w:val="20"/>
          <w:szCs w:val="20"/>
          <w:color w:val="auto"/>
        </w:rPr>
      </w:pPr>
      <w:r>
        <w:rPr>
          <w:rFonts w:ascii="Arial" w:cs="Arial" w:eastAsia="Arial" w:hAnsi="Arial"/>
          <w:sz w:val="18"/>
          <w:szCs w:val="18"/>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Ending balance as of March 31, 2025</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740" w:type="dxa"/>
            <w:vAlign w:val="bottom"/>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March 31, 2025</w:t>
            </w:r>
          </w:p>
        </w:tc>
      </w:tr>
      <w:tr>
        <w:trPr>
          <w:trHeight w:val="177"/>
        </w:trPr>
        <w:tc>
          <w:tcPr>
            <w:tcW w:w="340" w:type="dxa"/>
            <w:vAlign w:val="bottom"/>
          </w:tcPr>
          <w:p>
            <w:pPr>
              <w:jc w:val="right"/>
              <w:ind w:right="150"/>
              <w:spacing w:after="0" w:line="177" w:lineRule="exact"/>
              <w:rPr>
                <w:sz w:val="20"/>
                <w:szCs w:val="20"/>
                <w:color w:val="auto"/>
              </w:rPr>
            </w:pPr>
            <w:r>
              <w:rPr>
                <w:rFonts w:ascii="Arial" w:cs="Arial" w:eastAsia="Arial" w:hAnsi="Arial"/>
                <w:sz w:val="18"/>
                <w:szCs w:val="18"/>
                <w:color w:val="auto"/>
                <w:w w:val="79"/>
              </w:rPr>
              <w:t>$</w:t>
            </w:r>
          </w:p>
        </w:tc>
        <w:tc>
          <w:tcPr>
            <w:tcW w:w="2740" w:type="dxa"/>
            <w:vAlign w:val="bottom"/>
          </w:tcPr>
          <w:p>
            <w:pPr>
              <w:jc w:val="right"/>
              <w:ind w:right="30"/>
              <w:spacing w:after="0" w:line="177" w:lineRule="exact"/>
              <w:rPr>
                <w:sz w:val="20"/>
                <w:szCs w:val="20"/>
                <w:color w:val="auto"/>
              </w:rPr>
            </w:pPr>
            <w:r>
              <w:rPr>
                <w:rFonts w:ascii="Arial" w:cs="Arial" w:eastAsia="Arial" w:hAnsi="Arial"/>
                <w:sz w:val="18"/>
                <w:szCs w:val="18"/>
                <w:color w:val="auto"/>
              </w:rPr>
              <w:t>2,877</w:t>
            </w:r>
          </w:p>
        </w:tc>
      </w:tr>
      <w:tr>
        <w:trPr>
          <w:trHeight w:val="203"/>
        </w:trPr>
        <w:tc>
          <w:tcPr>
            <w:tcW w:w="340" w:type="dxa"/>
            <w:vAlign w:val="bottom"/>
          </w:tcPr>
          <w:p>
            <w:pPr>
              <w:spacing w:after="0"/>
              <w:rPr>
                <w:sz w:val="17"/>
                <w:szCs w:val="17"/>
                <w:color w:val="auto"/>
              </w:rPr>
            </w:pPr>
          </w:p>
        </w:tc>
        <w:tc>
          <w:tcPr>
            <w:tcW w:w="2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21"/>
        </w:trPr>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r>
      <w:tr>
        <w:trPr>
          <w:trHeight w:val="196"/>
        </w:trPr>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959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187" w:right="339" w:bottom="1440" w:gutter="0" w:footer="0" w:header="0"/>
          <w:type w:val="continuous"/>
        </w:sectPr>
      </w:pPr>
    </w:p>
    <w:p>
      <w:pPr>
        <w:spacing w:after="0" w:line="240"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The following table summarizes the change in accounts receivable for the three months ended March 31, 2025. There was no accounts receivable recorded as of December 31, 2025 and March 31, 2026:</w:t>
      </w:r>
    </w:p>
    <w:p>
      <w:pPr>
        <w:sectPr>
          <w:pgSz w:w="11900" w:h="16838" w:orient="portrait"/>
          <w:cols w:equalWidth="0" w:num="1">
            <w:col w:w="11240"/>
          </w:cols>
          <w:pgMar w:left="320" w:top="11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Beginning balance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rPr>
          <w:sz w:val="20"/>
          <w:szCs w:val="20"/>
          <w:color w:val="auto"/>
        </w:rPr>
      </w:pPr>
      <w:r>
        <w:rPr>
          <w:rFonts w:ascii="Arial" w:cs="Arial" w:eastAsia="Arial" w:hAnsi="Arial"/>
          <w:sz w:val="18"/>
          <w:szCs w:val="18"/>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Ending balance as of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2740" w:type="dxa"/>
            <w:vAlign w:val="bottom"/>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March 31, 2025</w:t>
            </w:r>
          </w:p>
        </w:tc>
      </w:tr>
      <w:tr>
        <w:trPr>
          <w:trHeight w:val="177"/>
        </w:trPr>
        <w:tc>
          <w:tcPr>
            <w:tcW w:w="340" w:type="dxa"/>
            <w:vAlign w:val="bottom"/>
          </w:tcPr>
          <w:p>
            <w:pPr>
              <w:jc w:val="right"/>
              <w:ind w:right="150"/>
              <w:spacing w:after="0" w:line="177" w:lineRule="exact"/>
              <w:rPr>
                <w:sz w:val="20"/>
                <w:szCs w:val="20"/>
                <w:color w:val="auto"/>
              </w:rPr>
            </w:pPr>
            <w:r>
              <w:rPr>
                <w:rFonts w:ascii="Arial" w:cs="Arial" w:eastAsia="Arial" w:hAnsi="Arial"/>
                <w:sz w:val="18"/>
                <w:szCs w:val="18"/>
                <w:color w:val="auto"/>
                <w:w w:val="79"/>
              </w:rPr>
              <w:t>$</w:t>
            </w:r>
          </w:p>
        </w:tc>
        <w:tc>
          <w:tcPr>
            <w:tcW w:w="2740" w:type="dxa"/>
            <w:vAlign w:val="bottom"/>
          </w:tcPr>
          <w:p>
            <w:pPr>
              <w:jc w:val="right"/>
              <w:ind w:right="30"/>
              <w:spacing w:after="0" w:line="177" w:lineRule="exact"/>
              <w:rPr>
                <w:sz w:val="20"/>
                <w:szCs w:val="20"/>
                <w:color w:val="auto"/>
              </w:rPr>
            </w:pPr>
            <w:r>
              <w:rPr>
                <w:rFonts w:ascii="Arial" w:cs="Arial" w:eastAsia="Arial" w:hAnsi="Arial"/>
                <w:sz w:val="18"/>
                <w:szCs w:val="18"/>
                <w:color w:val="auto"/>
              </w:rPr>
              <w:t>443</w:t>
            </w:r>
          </w:p>
        </w:tc>
      </w:tr>
      <w:tr>
        <w:trPr>
          <w:trHeight w:val="203"/>
        </w:trPr>
        <w:tc>
          <w:tcPr>
            <w:tcW w:w="340" w:type="dxa"/>
            <w:vAlign w:val="bottom"/>
          </w:tcPr>
          <w:p>
            <w:pPr>
              <w:spacing w:after="0"/>
              <w:rPr>
                <w:sz w:val="17"/>
                <w:szCs w:val="17"/>
                <w:color w:val="auto"/>
              </w:rPr>
            </w:pPr>
          </w:p>
        </w:tc>
        <w:tc>
          <w:tcPr>
            <w:tcW w:w="2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21"/>
        </w:trPr>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196"/>
        </w:trPr>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187" w:right="339" w:bottom="1440" w:gutter="0" w:footer="0" w:header="0"/>
          <w:type w:val="continuous"/>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14" w:name="page15"/>
    <w:bookmarkEnd w:id="14"/>
    <w:p>
      <w:pPr>
        <w:ind w:left="760" w:hanging="752"/>
        <w:spacing w:after="0"/>
        <w:tabs>
          <w:tab w:leader="none" w:pos="7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1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following table sets forth by level, within the fair value hierarchy, the financial assets and liabilities carried at fair value on a recurring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8"/>
          </w:tcPr>
          <w:p>
            <w:pPr>
              <w:jc w:val="right"/>
              <w:ind w:right="1360"/>
              <w:spacing w:after="0"/>
              <w:rPr>
                <w:sz w:val="20"/>
                <w:szCs w:val="20"/>
                <w:color w:val="auto"/>
              </w:rPr>
            </w:pPr>
            <w:r>
              <w:rPr>
                <w:rFonts w:ascii="Arial" w:cs="Arial" w:eastAsia="Arial" w:hAnsi="Arial"/>
                <w:sz w:val="18"/>
                <w:szCs w:val="18"/>
                <w:b w:val="1"/>
                <w:bCs w:val="1"/>
                <w:color w:val="auto"/>
              </w:rPr>
              <w:t>March 31, 2026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4"/>
          </w:tcPr>
          <w:p>
            <w:pPr>
              <w:jc w:val="center"/>
              <w:ind w:right="320"/>
              <w:spacing w:after="0" w:line="177" w:lineRule="exact"/>
              <w:rPr>
                <w:sz w:val="20"/>
                <w:szCs w:val="20"/>
                <w:color w:val="auto"/>
              </w:rPr>
            </w:pPr>
            <w:r>
              <w:rPr>
                <w:rFonts w:ascii="Arial" w:cs="Arial" w:eastAsia="Arial" w:hAnsi="Arial"/>
                <w:sz w:val="18"/>
                <w:szCs w:val="18"/>
                <w:b w:val="1"/>
                <w:bCs w:val="1"/>
                <w:color w:val="auto"/>
                <w:w w:val="99"/>
              </w:rPr>
              <w:t>Quoted prices 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5"/>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active markets for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Significant 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4"/>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identical assets</w:t>
            </w:r>
          </w:p>
        </w:tc>
        <w:tc>
          <w:tcPr>
            <w:tcW w:w="120" w:type="dxa"/>
            <w:vAlign w:val="bottom"/>
          </w:tcPr>
          <w:p>
            <w:pPr>
              <w:spacing w:after="0"/>
              <w:rPr>
                <w:sz w:val="17"/>
                <w:szCs w:val="17"/>
                <w:color w:val="auto"/>
              </w:rPr>
            </w:pPr>
          </w:p>
        </w:tc>
        <w:tc>
          <w:tcPr>
            <w:tcW w:w="1860" w:type="dxa"/>
            <w:vAlign w:val="bottom"/>
            <w:gridSpan w:val="5"/>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observable 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4"/>
          </w:tcPr>
          <w:p>
            <w:pPr>
              <w:ind w:left="60"/>
              <w:spacing w:after="0" w:line="202" w:lineRule="exact"/>
              <w:rPr>
                <w:sz w:val="20"/>
                <w:szCs w:val="20"/>
                <w:color w:val="auto"/>
              </w:rPr>
            </w:pPr>
            <w:r>
              <w:rPr>
                <w:rFonts w:ascii="Arial" w:cs="Arial" w:eastAsia="Arial" w:hAnsi="Arial"/>
                <w:sz w:val="18"/>
                <w:szCs w:val="18"/>
                <w:b w:val="1"/>
                <w:bCs w:val="1"/>
                <w:color w:val="auto"/>
              </w:rPr>
              <w:t>unobservable</w:t>
            </w:r>
          </w:p>
        </w:tc>
        <w:tc>
          <w:tcPr>
            <w:tcW w:w="0" w:type="dxa"/>
            <w:vAlign w:val="bottom"/>
          </w:tcPr>
          <w:p>
            <w:pPr>
              <w:spacing w:after="0"/>
              <w:rPr>
                <w:sz w:val="1"/>
                <w:szCs w:val="1"/>
                <w:color w:val="auto"/>
              </w:rPr>
            </w:pPr>
          </w:p>
        </w:tc>
      </w:tr>
      <w:tr>
        <w:trPr>
          <w:trHeight w:val="221"/>
        </w:trPr>
        <w:tc>
          <w:tcPr>
            <w:tcW w:w="3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inputs (Level 3)</w:t>
            </w:r>
          </w:p>
        </w:tc>
        <w:tc>
          <w:tcPr>
            <w:tcW w:w="0" w:type="dxa"/>
            <w:vAlign w:val="bottom"/>
          </w:tcPr>
          <w:p>
            <w:pPr>
              <w:spacing w:after="0"/>
              <w:rPr>
                <w:sz w:val="1"/>
                <w:szCs w:val="1"/>
                <w:color w:val="auto"/>
              </w:rPr>
            </w:pPr>
          </w:p>
        </w:tc>
      </w:tr>
      <w:tr>
        <w:trPr>
          <w:trHeight w:val="196"/>
        </w:trPr>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Money market funds</w:t>
            </w:r>
          </w:p>
        </w:tc>
        <w:tc>
          <w:tcPr>
            <w:tcW w:w="4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28,428</w:t>
            </w:r>
          </w:p>
        </w:tc>
        <w:tc>
          <w:tcPr>
            <w:tcW w:w="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28,428</w:t>
            </w:r>
          </w:p>
        </w:tc>
        <w:tc>
          <w:tcPr>
            <w:tcW w:w="2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center"/>
              <w:ind w:right="5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ind w:left="260"/>
              <w:spacing w:after="0" w:line="183" w:lineRule="exact"/>
              <w:rPr>
                <w:sz w:val="20"/>
                <w:szCs w:val="20"/>
                <w:color w:val="auto"/>
              </w:rPr>
            </w:pPr>
            <w:r>
              <w:rPr>
                <w:rFonts w:ascii="Arial" w:cs="Arial" w:eastAsia="Arial" w:hAnsi="Arial"/>
                <w:sz w:val="18"/>
                <w:szCs w:val="18"/>
                <w:color w:val="auto"/>
              </w:rPr>
              <w:t>U.S. Treasury bills and U.S. Treasury</w:t>
            </w: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140,030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vMerge w:val="restart"/>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140,030</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w:t>
            </w:r>
          </w:p>
        </w:tc>
        <w:tc>
          <w:tcPr>
            <w:tcW w:w="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vMerge w:val="continue"/>
            <w:shd w:val="clear" w:color="auto" w:fill="CFF0FC"/>
          </w:tcPr>
          <w:p>
            <w:pPr>
              <w:spacing w:after="0"/>
              <w:rPr>
                <w:sz w:val="18"/>
                <w:szCs w:val="18"/>
                <w:color w:val="auto"/>
              </w:rPr>
            </w:pPr>
          </w:p>
        </w:tc>
        <w:tc>
          <w:tcPr>
            <w:tcW w:w="20" w:type="dxa"/>
            <w:vAlign w:val="bottom"/>
            <w:tcBorders>
              <w:bottom w:val="single" w:sz="8" w:color="CFF0FC"/>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0" w:type="dxa"/>
            <w:vAlign w:val="bottom"/>
          </w:tcPr>
          <w:p>
            <w:pPr>
              <w:ind w:left="500"/>
              <w:spacing w:after="0" w:line="182" w:lineRule="exact"/>
              <w:rPr>
                <w:sz w:val="20"/>
                <w:szCs w:val="20"/>
                <w:color w:val="auto"/>
              </w:rPr>
            </w:pPr>
            <w:r>
              <w:rPr>
                <w:rFonts w:ascii="Arial" w:cs="Arial" w:eastAsia="Arial" w:hAnsi="Arial"/>
                <w:sz w:val="18"/>
                <w:szCs w:val="18"/>
                <w:color w:val="auto"/>
              </w:rPr>
              <w:t>Total financial assets</w:t>
            </w:r>
          </w:p>
        </w:tc>
        <w:tc>
          <w:tcPr>
            <w:tcW w:w="440" w:type="dxa"/>
            <w:vAlign w:val="bottom"/>
            <w:gridSpan w:val="2"/>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168,458</w:t>
            </w:r>
          </w:p>
        </w:tc>
        <w:tc>
          <w:tcPr>
            <w:tcW w:w="2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28,428</w:t>
            </w:r>
          </w:p>
        </w:tc>
        <w:tc>
          <w:tcPr>
            <w:tcW w:w="20" w:type="dxa"/>
            <w:vAlign w:val="bottom"/>
          </w:tcPr>
          <w:p>
            <w:pPr>
              <w:spacing w:after="0"/>
              <w:rPr>
                <w:sz w:val="17"/>
                <w:szCs w:val="17"/>
                <w:color w:val="auto"/>
              </w:rPr>
            </w:pPr>
          </w:p>
        </w:tc>
        <w:tc>
          <w:tcPr>
            <w:tcW w:w="480" w:type="dxa"/>
            <w:vAlign w:val="bottom"/>
            <w:gridSpan w:val="3"/>
          </w:tcPr>
          <w:p>
            <w:pPr>
              <w:jc w:val="center"/>
              <w:ind w:right="5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3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140,030</w:t>
            </w:r>
          </w:p>
        </w:tc>
        <w:tc>
          <w:tcPr>
            <w:tcW w:w="8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Financial Liabilities:</w:t>
            </w: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6,241</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3"/>
          </w:tcPr>
          <w:p>
            <w:pPr>
              <w:jc w:val="center"/>
              <w:ind w:right="5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 liability</w:t>
            </w:r>
          </w:p>
        </w:tc>
        <w:tc>
          <w:tcPr>
            <w:tcW w:w="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4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6,242</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3"/>
          </w:tcPr>
          <w:p>
            <w:pPr>
              <w:jc w:val="center"/>
              <w:ind w:right="5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8"/>
                <w:szCs w:val="18"/>
                <w:b w:val="1"/>
                <w:bCs w:val="1"/>
                <w:color w:val="auto"/>
                <w:w w:val="99"/>
              </w:rPr>
              <w:t>December 31, 2025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9"/>
              </w:rPr>
              <w:t>Quoted prices 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center"/>
              <w:ind w:right="40"/>
              <w:spacing w:after="0" w:line="177" w:lineRule="exact"/>
              <w:rPr>
                <w:sz w:val="20"/>
                <w:szCs w:val="20"/>
                <w:color w:val="auto"/>
              </w:rPr>
            </w:pPr>
            <w:r>
              <w:rPr>
                <w:rFonts w:ascii="Arial" w:cs="Arial" w:eastAsia="Arial" w:hAnsi="Arial"/>
                <w:sz w:val="18"/>
                <w:szCs w:val="18"/>
                <w:b w:val="1"/>
                <w:bCs w:val="1"/>
                <w:color w:val="auto"/>
                <w:w w:val="99"/>
              </w:rPr>
              <w:t>Significant other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5"/>
          </w:tcPr>
          <w:p>
            <w:pPr>
              <w:jc w:val="center"/>
              <w:ind w:right="330"/>
              <w:spacing w:after="0" w:line="202" w:lineRule="exact"/>
              <w:rPr>
                <w:sz w:val="20"/>
                <w:szCs w:val="20"/>
                <w:color w:val="auto"/>
              </w:rPr>
            </w:pPr>
            <w:r>
              <w:rPr>
                <w:rFonts w:ascii="Arial" w:cs="Arial" w:eastAsia="Arial" w:hAnsi="Arial"/>
                <w:sz w:val="18"/>
                <w:szCs w:val="18"/>
                <w:b w:val="1"/>
                <w:bCs w:val="1"/>
                <w:color w:val="auto"/>
                <w:w w:val="99"/>
              </w:rPr>
              <w:t>active markets for</w:t>
            </w:r>
          </w:p>
        </w:tc>
        <w:tc>
          <w:tcPr>
            <w:tcW w:w="10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observable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identical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unobservable</w:t>
            </w:r>
          </w:p>
        </w:tc>
        <w:tc>
          <w:tcPr>
            <w:tcW w:w="0" w:type="dxa"/>
            <w:vAlign w:val="bottom"/>
          </w:tcPr>
          <w:p>
            <w:pPr>
              <w:spacing w:after="0"/>
              <w:rPr>
                <w:sz w:val="1"/>
                <w:szCs w:val="1"/>
                <w:color w:val="auto"/>
              </w:rPr>
            </w:pPr>
          </w:p>
        </w:tc>
      </w:tr>
      <w:tr>
        <w:trPr>
          <w:trHeight w:val="221"/>
        </w:trPr>
        <w:tc>
          <w:tcPr>
            <w:tcW w:w="3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inputs (Level 3)</w:t>
            </w:r>
          </w:p>
        </w:tc>
        <w:tc>
          <w:tcPr>
            <w:tcW w:w="0" w:type="dxa"/>
            <w:vAlign w:val="bottom"/>
          </w:tcPr>
          <w:p>
            <w:pPr>
              <w:spacing w:after="0"/>
              <w:rPr>
                <w:sz w:val="1"/>
                <w:szCs w:val="1"/>
                <w:color w:val="auto"/>
              </w:rPr>
            </w:pPr>
          </w:p>
        </w:tc>
      </w:tr>
      <w:tr>
        <w:trPr>
          <w:trHeight w:val="196"/>
        </w:trPr>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Money market funds</w:t>
            </w:r>
          </w:p>
        </w:tc>
        <w:tc>
          <w:tcPr>
            <w:tcW w:w="66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30,032</w:t>
            </w:r>
          </w:p>
        </w:tc>
        <w:tc>
          <w:tcPr>
            <w:tcW w:w="4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30,032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U.S. Treasury bills and U.S. Treasury notes</w:t>
            </w:r>
          </w:p>
        </w:tc>
        <w:tc>
          <w:tcPr>
            <w:tcW w:w="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174,869</w:t>
            </w: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174,869</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ind w:left="500"/>
              <w:spacing w:after="0" w:line="182" w:lineRule="exact"/>
              <w:rPr>
                <w:sz w:val="20"/>
                <w:szCs w:val="20"/>
                <w:color w:val="auto"/>
              </w:rPr>
            </w:pPr>
            <w:r>
              <w:rPr>
                <w:rFonts w:ascii="Arial" w:cs="Arial" w:eastAsia="Arial" w:hAnsi="Arial"/>
                <w:sz w:val="18"/>
                <w:szCs w:val="18"/>
                <w:color w:val="auto"/>
              </w:rPr>
              <w:t>Total financial assets</w:t>
            </w:r>
          </w:p>
        </w:tc>
        <w:tc>
          <w:tcPr>
            <w:tcW w:w="660" w:type="dxa"/>
            <w:vAlign w:val="bottom"/>
            <w:gridSpan w:val="3"/>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204,901</w:t>
            </w:r>
          </w:p>
        </w:tc>
        <w:tc>
          <w:tcPr>
            <w:tcW w:w="40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70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30,032</w:t>
            </w:r>
          </w:p>
        </w:tc>
        <w:tc>
          <w:tcPr>
            <w:tcW w:w="26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174,869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ind w:left="6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Financial Liabilities:</w:t>
            </w: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6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6,132</w:t>
            </w:r>
          </w:p>
        </w:tc>
        <w:tc>
          <w:tcPr>
            <w:tcW w:w="4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 liability</w:t>
            </w:r>
          </w:p>
        </w:tc>
        <w:tc>
          <w:tcPr>
            <w:tcW w:w="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660" w:type="dxa"/>
            <w:vAlign w:val="bottom"/>
            <w:gridSpan w:val="3"/>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6,133</w:t>
            </w: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-2879725</wp:posOffset>
            </wp:positionV>
            <wp:extent cx="93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-2879725</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-2879725</wp:posOffset>
            </wp:positionV>
            <wp:extent cx="93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-2331085</wp:posOffset>
            </wp:positionV>
            <wp:extent cx="93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-2331085</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-2331085</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-710565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-710565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-710565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-161925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-161925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-161925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valuation techniques or transfers between Levels 1, 2 or 3 for the periods presented.</w:t>
      </w:r>
    </w:p>
    <w:p>
      <w:pPr>
        <w:spacing w:after="0" w:line="21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Marketable securities classified as Level 2 within the valuation hierarchy generally consist of U.S. Treasury bills and U.S. Treasury notes. The Company estimates the fair values of marketable securities by taking into consideration valuations obtained from third-party pricing sources.</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carrying values of accounts payable and accrued expenses and other current liabilities approximates their fair values due to the short-term nature of these instruments.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Contingent Consideration</w:t>
      </w:r>
    </w:p>
    <w:p>
      <w:pPr>
        <w:spacing w:after="0" w:line="21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contingent consideration in the below tables relates to the estimated fair value of future payments that may be made by the Company to the members of IFM Discovery, LLC (“IFM”) and Rahko as described below. The fair value of the contingent consideration was determined based on significant inputs not observable in the market, which represent Level 3 measurements.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IFM</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May 2022, the Company acquired all of the membership interests in IFM. The total purchase consideration was $3.1 million, which consisted of the following: (i) 81,240 shares of non-voting common stock at closing with the estimated fair value of $0.2 million, (ii) cash consideration of $0.9 million at closing, (iii) a deferred payment of $0.9 million, which was paid in June 2022 and (iv) contingent consideration in cash of up to $30.0 million, payable once for each of the NLR family pyrin domain containing 1 (“NLRP1”) and melanoma differentiation-associated protein 5 (“MDA5”) programs upon the first achievement of certain development, commercial, regulatory and sales milestones related to each such program. The estimated fair value of the contingent consideration was determined to be $1.1 million on the acquisition date. The contingent consideration is remeasured at each balance sheet date.</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fair value of the contingent consideration related to development, commercial, regulatory and sales milestones was based on the discounted cash flow valuation technique. The technique considered the following assumptions: (i) the probability and timing of achieving the specified milestones as of the valuation date and (ii) the market-based discount rates, with the most significant assumptions being the timing of the projected milestones and the probability of the milestones being achieved. The fair value of the contingent consideration could change in future periods depending on the prospects for the Company’s MDA5 and NLRP1 drug discovery programs acquired as part of the IFM transaction achieving development, commercial, regulatory and sales milestones. The estimated fair value of the contingent consideration as of March 31, 2026 and December 31, 2025, related to the IFM acquisition, was $1.3 million and $1.4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inputs to the discounted cash flow technique used to value contingent consideration for IFM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80" w:type="dxa"/>
            <w:vAlign w:val="bottom"/>
          </w:tcPr>
          <w:p>
            <w:pPr>
              <w:spacing w:after="0"/>
              <w:rPr>
                <w:sz w:val="20"/>
                <w:szCs w:val="20"/>
                <w:color w:val="auto"/>
              </w:rPr>
            </w:pPr>
            <w:r>
              <w:rPr>
                <w:rFonts w:ascii="Arial" w:cs="Arial" w:eastAsia="Arial" w:hAnsi="Arial"/>
                <w:sz w:val="18"/>
                <w:szCs w:val="18"/>
                <w:b w:val="1"/>
                <w:bCs w:val="1"/>
                <w:color w:val="auto"/>
              </w:rPr>
              <w:t>Significant Unobservable Inputs</w:t>
            </w:r>
          </w:p>
        </w:tc>
        <w:tc>
          <w:tcPr>
            <w:tcW w:w="2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March 31, 2026</w:t>
            </w:r>
          </w:p>
        </w:tc>
        <w:tc>
          <w:tcPr>
            <w:tcW w:w="160" w:type="dxa"/>
            <w:vAlign w:val="bottom"/>
          </w:tcPr>
          <w:p>
            <w:pPr>
              <w:spacing w:after="0"/>
              <w:rPr>
                <w:sz w:val="19"/>
                <w:szCs w:val="19"/>
                <w:color w:val="auto"/>
              </w:rPr>
            </w:pPr>
          </w:p>
        </w:tc>
        <w:tc>
          <w:tcPr>
            <w:tcW w:w="30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December 31, 2025</w:t>
            </w: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Discount rate</w:t>
            </w: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w:t>
            </w:r>
          </w:p>
        </w:tc>
        <w:tc>
          <w:tcPr>
            <w:tcW w:w="3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Projected milestone timing</w:t>
            </w:r>
          </w:p>
        </w:tc>
        <w:tc>
          <w:tcPr>
            <w:tcW w:w="2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2.50 to 11.51 Years</w:t>
            </w:r>
          </w:p>
        </w:tc>
        <w:tc>
          <w:tcPr>
            <w:tcW w:w="160" w:type="dxa"/>
            <w:vAlign w:val="bottom"/>
          </w:tcPr>
          <w:p>
            <w:pPr>
              <w:spacing w:after="0"/>
              <w:rPr>
                <w:sz w:val="17"/>
                <w:szCs w:val="17"/>
                <w:color w:val="auto"/>
              </w:rPr>
            </w:pPr>
          </w:p>
        </w:tc>
        <w:tc>
          <w:tcPr>
            <w:tcW w:w="30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2.25 to 11.75 Years</w:t>
            </w: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Probability of milestone achievement - NLRP1 program</w:t>
            </w:r>
          </w:p>
        </w:tc>
        <w:tc>
          <w:tcPr>
            <w:tcW w:w="23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5.0% - 35.0%</w:t>
            </w:r>
          </w:p>
        </w:tc>
        <w:tc>
          <w:tcPr>
            <w:tcW w:w="32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5.0% - 35.0%</w:t>
            </w:r>
          </w:p>
        </w:tc>
      </w:tr>
      <w:tr>
        <w:trPr>
          <w:trHeight w:val="239"/>
        </w:trPr>
        <w:tc>
          <w:tcPr>
            <w:tcW w:w="5680" w:type="dxa"/>
            <w:vAlign w:val="bottom"/>
          </w:tcPr>
          <w:p>
            <w:pPr>
              <w:spacing w:after="0"/>
              <w:rPr>
                <w:sz w:val="20"/>
                <w:szCs w:val="20"/>
                <w:color w:val="auto"/>
              </w:rPr>
            </w:pPr>
            <w:r>
              <w:rPr>
                <w:rFonts w:ascii="Arial" w:cs="Arial" w:eastAsia="Arial" w:hAnsi="Arial"/>
                <w:sz w:val="18"/>
                <w:szCs w:val="18"/>
                <w:color w:val="auto"/>
              </w:rPr>
              <w:t>Probability of milestone achievement - MDA5 program</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5.0% - 35.0%</w:t>
            </w:r>
          </w:p>
        </w:tc>
        <w:tc>
          <w:tcPr>
            <w:tcW w:w="3220" w:type="dxa"/>
            <w:vAlign w:val="bottom"/>
            <w:gridSpan w:val="2"/>
          </w:tcPr>
          <w:p>
            <w:pPr>
              <w:jc w:val="right"/>
              <w:ind w:right="90"/>
              <w:spacing w:after="0"/>
              <w:rPr>
                <w:sz w:val="20"/>
                <w:szCs w:val="20"/>
                <w:color w:val="auto"/>
              </w:rPr>
            </w:pPr>
            <w:r>
              <w:rPr>
                <w:rFonts w:ascii="Arial" w:cs="Arial" w:eastAsia="Arial" w:hAnsi="Arial"/>
                <w:sz w:val="18"/>
                <w:szCs w:val="18"/>
                <w:color w:val="auto"/>
              </w:rPr>
              <w:t>5.0% - 35.0%</w:t>
            </w:r>
          </w:p>
        </w:tc>
      </w:tr>
    </w:tbl>
    <w:p>
      <w:pPr>
        <w:spacing w:after="0" w:line="18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Significant increases or decreases in these inputs could result in a significantly lower or higher fair value measurement of the contingent consideration liability.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Rahko</w:t>
      </w:r>
    </w:p>
    <w:p>
      <w:pPr>
        <w:spacing w:after="0" w:line="21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Rahko acquisition included additional consideration payable of up to $30.0 million to the previous shareholders of Rahko upon the achievement of certain qualifying events, including (a) following the Company’s completion of an initial public offering (“IPO”) or public listing of the Company’s shares on certain designated exchanges, upon the first occurrence of the total market capitalization of the Company being equal to or in excess of $1.5 billion, or (b) an exit event such as (i) a transaction or transactions by which more than 50% of the combined voting power of then outstanding voting securities of the Company are acquired, (ii) consolidation or merger of the Company into another entity, or (iii) sale or disposition of substantially all of the assets of the Company, in each case for which the potential proceeds are equal to or in excess of $1.5 billion. The fair value of the contingent consideration was determined based on a Monte-Carlo simulation model that utilizes a geometric Brownian motion to estimate the equity value of the Company at expected qualifying event dates. The Company applied risk-free rate, volatility and discount rate assumptions to simulate the expected equity value of the Company as of the expected qualifying event dates. The risk-free rate was based upon the interest rates corresponding to the time period for U.S. Treasury notes published by the U.S. Federal Reserve. The volatility was estimated based on equity volatility indications from the guideline public companies and the capital structure of the Company.</w:t>
      </w:r>
    </w:p>
    <w:p>
      <w:pPr>
        <w:spacing w:after="0" w:line="18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contingent consideration as of the date when the Company has met the certain market capitalization threshold following a certain qualifying event was discounted to the measurement date using a discount rate that is based on all-in market yields for publicly traded debt securities of comparable credit quality to the contingent consideration payments. The discounted amount of contingent consideration and the equity values are subject to the Monte-Carlo simulations for 100,000 trials to derive the fair value of the contingent consideration. The estimated contingent consideration liability as of March 31, 2026 and December 31, 2025, related to the Rahko acquisition was $4.9 million and $4.7 million,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6" w:name="page17"/>
    <w:bookmarkEnd w:id="16"/>
    <w:p>
      <w:pPr>
        <w:ind w:right="40"/>
        <w:spacing w:after="0" w:line="253" w:lineRule="auto"/>
        <w:rPr>
          <w:sz w:val="20"/>
          <w:szCs w:val="20"/>
          <w:color w:val="auto"/>
        </w:rPr>
      </w:pPr>
      <w:r>
        <w:rPr>
          <w:rFonts w:ascii="Arial" w:cs="Arial" w:eastAsia="Arial" w:hAnsi="Arial"/>
          <w:sz w:val="18"/>
          <w:szCs w:val="18"/>
          <w:color w:val="auto"/>
        </w:rPr>
        <w:t>The following table sets forth the probability of completing an IPO (measured as a standalone metric separate from the other necessary triggers for the contingent consideration related to the Rahko acquisition), which was a significant input to the Monte-Carlo simulation used to value such contingent consideration: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2026</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rPr>
              <w:t>Risk Free Rate</w:t>
            </w: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r>
      <w:tr>
        <w:trPr>
          <w:trHeight w:val="203"/>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Probability of</w:t>
            </w: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Applied to Equity</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1"/>
        </w:trPr>
        <w:tc>
          <w:tcPr>
            <w:tcW w:w="37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Expected IPO Date</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IPO Event</w:t>
            </w:r>
          </w:p>
        </w:tc>
        <w:tc>
          <w:tcPr>
            <w:tcW w:w="16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Discount Rates</w:t>
            </w:r>
          </w:p>
        </w:tc>
        <w:tc>
          <w:tcPr>
            <w:tcW w:w="16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14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Equity Volatility</w:t>
            </w:r>
          </w:p>
        </w:tc>
      </w:tr>
      <w:tr>
        <w:trPr>
          <w:trHeight w:val="196"/>
        </w:trPr>
        <w:tc>
          <w:tcPr>
            <w:tcW w:w="3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May 31, 2026</w:t>
            </w:r>
          </w:p>
        </w:tc>
        <w:tc>
          <w:tcPr>
            <w:tcW w:w="162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9"/>
              </w:rPr>
              <w:t>15%</w:t>
            </w:r>
          </w:p>
        </w:tc>
        <w:tc>
          <w:tcPr>
            <w:tcW w:w="212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9"/>
              </w:rPr>
              <w:t>15.7% - 17.1%</w:t>
            </w:r>
          </w:p>
        </w:tc>
        <w:tc>
          <w:tcPr>
            <w:tcW w:w="194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7"/>
              </w:rPr>
              <w:t>4.4%</w:t>
            </w:r>
          </w:p>
        </w:tc>
        <w:tc>
          <w:tcPr>
            <w:tcW w:w="186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rPr>
              <w:t>97.8%</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December 30, 2026</w:t>
            </w:r>
          </w:p>
        </w:tc>
        <w:tc>
          <w:tcPr>
            <w:tcW w:w="162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14%</w:t>
            </w:r>
          </w:p>
        </w:tc>
        <w:tc>
          <w:tcPr>
            <w:tcW w:w="212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15.7% - 17.1%</w:t>
            </w:r>
          </w:p>
        </w:tc>
        <w:tc>
          <w:tcPr>
            <w:tcW w:w="194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7"/>
              </w:rPr>
              <w:t>4.4%</w:t>
            </w:r>
          </w:p>
        </w:tc>
        <w:tc>
          <w:tcPr>
            <w:tcW w:w="186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rPr>
              <w:t>97.2%</w:t>
            </w: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February 28, 2027</w:t>
            </w:r>
          </w:p>
        </w:tc>
        <w:tc>
          <w:tcPr>
            <w:tcW w:w="162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9"/>
              </w:rPr>
              <w:t>14%</w:t>
            </w:r>
          </w:p>
        </w:tc>
        <w:tc>
          <w:tcPr>
            <w:tcW w:w="212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9"/>
              </w:rPr>
              <w:t>15.7% - 17.1%</w:t>
            </w:r>
          </w:p>
        </w:tc>
        <w:tc>
          <w:tcPr>
            <w:tcW w:w="194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7"/>
              </w:rPr>
              <w:t>4.4%</w:t>
            </w:r>
          </w:p>
        </w:tc>
        <w:tc>
          <w:tcPr>
            <w:tcW w:w="186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rPr>
              <w:t>96.6%</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April 30, 2027</w:t>
            </w:r>
          </w:p>
        </w:tc>
        <w:tc>
          <w:tcPr>
            <w:tcW w:w="162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14%</w:t>
            </w:r>
          </w:p>
        </w:tc>
        <w:tc>
          <w:tcPr>
            <w:tcW w:w="212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15.7% - 17.1%</w:t>
            </w:r>
          </w:p>
        </w:tc>
        <w:tc>
          <w:tcPr>
            <w:tcW w:w="194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7"/>
              </w:rPr>
              <w:t>4.4%</w:t>
            </w:r>
          </w:p>
        </w:tc>
        <w:tc>
          <w:tcPr>
            <w:tcW w:w="186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rPr>
              <w:t>96.0%</w:t>
            </w: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9"/>
              </w:rPr>
              <w:t>43%</w:t>
            </w:r>
          </w:p>
        </w:tc>
        <w:tc>
          <w:tcPr>
            <w:tcW w:w="16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Varies</w:t>
            </w:r>
          </w:p>
        </w:tc>
        <w:tc>
          <w:tcPr>
            <w:tcW w:w="194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9"/>
              </w:rPr>
              <w:t>4%</w:t>
            </w: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Varies</w:t>
            </w:r>
          </w:p>
        </w:tc>
      </w:tr>
    </w:tbl>
    <w:p>
      <w:pPr>
        <w:spacing w:after="0" w:line="19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*Reflects the probability weighted expected term of 1.58 years for the remaining scenarios between August 2027 and December 2027 with each scenario weighted 14.2% overall for an aggregate probability weight of 42.6%.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9"/>
              </w:rPr>
              <w:t>Risk Free Rate</w:t>
            </w: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03"/>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Probability of</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Applied to Equity</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1"/>
        </w:trPr>
        <w:tc>
          <w:tcPr>
            <w:tcW w:w="41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Expected IPO Date</w:t>
            </w: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IPO Event</w:t>
            </w:r>
          </w:p>
        </w:tc>
        <w:tc>
          <w:tcPr>
            <w:tcW w:w="16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Discount Rates</w:t>
            </w:r>
          </w:p>
        </w:tc>
        <w:tc>
          <w:tcPr>
            <w:tcW w:w="16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Equity Volatility</w:t>
            </w:r>
          </w:p>
        </w:tc>
      </w:tr>
      <w:tr>
        <w:trPr>
          <w:trHeight w:val="196"/>
        </w:trPr>
        <w:tc>
          <w:tcPr>
            <w:tcW w:w="4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May 31, 2026</w:t>
            </w:r>
          </w:p>
        </w:tc>
        <w:tc>
          <w:tcPr>
            <w:tcW w:w="1640" w:type="dxa"/>
            <w:vAlign w:val="bottom"/>
            <w:gridSpan w:val="2"/>
            <w:shd w:val="clear" w:color="auto" w:fill="CFF0FC"/>
          </w:tcPr>
          <w:p>
            <w:pPr>
              <w:jc w:val="center"/>
              <w:ind w:left="30"/>
              <w:spacing w:after="0" w:line="196" w:lineRule="exact"/>
              <w:rPr>
                <w:sz w:val="20"/>
                <w:szCs w:val="20"/>
                <w:color w:val="auto"/>
              </w:rPr>
            </w:pPr>
            <w:r>
              <w:rPr>
                <w:rFonts w:ascii="Arial" w:cs="Arial" w:eastAsia="Arial" w:hAnsi="Arial"/>
                <w:sz w:val="18"/>
                <w:szCs w:val="18"/>
                <w:color w:val="auto"/>
                <w:w w:val="99"/>
              </w:rPr>
              <w:t>15%</w:t>
            </w:r>
          </w:p>
        </w:tc>
        <w:tc>
          <w:tcPr>
            <w:tcW w:w="208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9"/>
              </w:rPr>
              <w:t>15.3% - 16.1%</w:t>
            </w:r>
          </w:p>
        </w:tc>
        <w:tc>
          <w:tcPr>
            <w:tcW w:w="174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7"/>
              </w:rPr>
              <w:t>4.2%</w:t>
            </w:r>
          </w:p>
        </w:tc>
        <w:tc>
          <w:tcPr>
            <w:tcW w:w="168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7"/>
              </w:rPr>
              <w:t>96.2%</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December 30, 2026</w:t>
            </w:r>
          </w:p>
        </w:tc>
        <w:tc>
          <w:tcPr>
            <w:tcW w:w="164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9"/>
              </w:rPr>
              <w:t>14%</w:t>
            </w:r>
          </w:p>
        </w:tc>
        <w:tc>
          <w:tcPr>
            <w:tcW w:w="208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15.3% - 16.0%</w:t>
            </w:r>
          </w:p>
        </w:tc>
        <w:tc>
          <w:tcPr>
            <w:tcW w:w="174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7"/>
              </w:rPr>
              <w:t>4.2%</w:t>
            </w:r>
          </w:p>
        </w:tc>
        <w:tc>
          <w:tcPr>
            <w:tcW w:w="168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7"/>
              </w:rPr>
              <w:t>96.4%</w:t>
            </w:r>
          </w:p>
        </w:tc>
      </w:tr>
      <w:tr>
        <w:trPr>
          <w:trHeight w:val="203"/>
        </w:trPr>
        <w:tc>
          <w:tcPr>
            <w:tcW w:w="4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February 28, 2027</w:t>
            </w:r>
          </w:p>
        </w:tc>
        <w:tc>
          <w:tcPr>
            <w:tcW w:w="164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9"/>
              </w:rPr>
              <w:t>14%</w:t>
            </w:r>
          </w:p>
        </w:tc>
        <w:tc>
          <w:tcPr>
            <w:tcW w:w="208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9"/>
              </w:rPr>
              <w:t>15.3% - 16.0%</w:t>
            </w:r>
          </w:p>
        </w:tc>
        <w:tc>
          <w:tcPr>
            <w:tcW w:w="174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7"/>
              </w:rPr>
              <w:t>4.3%</w:t>
            </w:r>
          </w:p>
        </w:tc>
        <w:tc>
          <w:tcPr>
            <w:tcW w:w="168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7"/>
              </w:rPr>
              <w:t>96.5%</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April 30, 2027</w:t>
            </w:r>
          </w:p>
        </w:tc>
        <w:tc>
          <w:tcPr>
            <w:tcW w:w="164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9"/>
              </w:rPr>
              <w:t>14%</w:t>
            </w:r>
          </w:p>
        </w:tc>
        <w:tc>
          <w:tcPr>
            <w:tcW w:w="208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15.3% - 16.0%</w:t>
            </w:r>
          </w:p>
        </w:tc>
        <w:tc>
          <w:tcPr>
            <w:tcW w:w="174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7"/>
              </w:rPr>
              <w:t>4.3%</w:t>
            </w:r>
          </w:p>
        </w:tc>
        <w:tc>
          <w:tcPr>
            <w:tcW w:w="168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7"/>
              </w:rPr>
              <w:t>96.5%</w:t>
            </w:r>
          </w:p>
        </w:tc>
      </w:tr>
      <w:tr>
        <w:trPr>
          <w:trHeight w:val="203"/>
        </w:trPr>
        <w:tc>
          <w:tcPr>
            <w:tcW w:w="4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9"/>
              </w:rPr>
              <w:t>43%</w:t>
            </w:r>
          </w:p>
        </w:tc>
        <w:tc>
          <w:tcPr>
            <w:tcW w:w="160" w:type="dxa"/>
            <w:vAlign w:val="bottom"/>
            <w:shd w:val="clear" w:color="auto" w:fill="CFF0FC"/>
          </w:tcPr>
          <w:p>
            <w:pPr>
              <w:spacing w:after="0"/>
              <w:rPr>
                <w:sz w:val="17"/>
                <w:szCs w:val="17"/>
                <w:color w:val="auto"/>
              </w:rPr>
            </w:pPr>
          </w:p>
        </w:tc>
        <w:tc>
          <w:tcPr>
            <w:tcW w:w="19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Varies</w:t>
            </w:r>
          </w:p>
        </w:tc>
        <w:tc>
          <w:tcPr>
            <w:tcW w:w="174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7"/>
              </w:rPr>
              <w:t>4.3%</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Varies</w:t>
            </w:r>
          </w:p>
        </w:tc>
      </w:tr>
    </w:tbl>
    <w:p>
      <w:pPr>
        <w:spacing w:after="0" w:line="197" w:lineRule="exact"/>
        <w:rPr>
          <w:sz w:val="20"/>
          <w:szCs w:val="20"/>
          <w:color w:val="auto"/>
        </w:rPr>
      </w:pPr>
    </w:p>
    <w:p>
      <w:pPr>
        <w:ind w:right="34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Reflects the probability weighted expected term of 1.83 years for the remaining scenarios between August 2027 and December</w:t>
      </w:r>
      <w:r>
        <w:rPr>
          <w:rFonts w:ascii="Arial" w:cs="Arial" w:eastAsia="Arial" w:hAnsi="Arial"/>
          <w:sz w:val="18"/>
          <w:szCs w:val="18"/>
          <w:color w:val="auto"/>
        </w:rPr>
        <w:t xml:space="preserve"> </w:t>
      </w:r>
      <w:r>
        <w:rPr>
          <w:rFonts w:ascii="Arial" w:cs="Arial" w:eastAsia="Arial" w:hAnsi="Arial"/>
          <w:sz w:val="18"/>
          <w:szCs w:val="18"/>
          <w:b w:val="1"/>
          <w:bCs w:val="1"/>
          <w:color w:val="auto"/>
        </w:rPr>
        <w:t>2027 with each scenario weighted 14.2% overall for an aggregate probability weight of 42.6%.</w:t>
      </w:r>
    </w:p>
    <w:p>
      <w:pPr>
        <w:spacing w:after="0" w:line="13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Significant increases or decreases in these inputs could result in a significantly lower or higher fair value measurement of the contingent consideration liability.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LSA Warrant Liability</w:t>
      </w:r>
    </w:p>
    <w:p>
      <w:pPr>
        <w:spacing w:after="0" w:line="21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March 2022, the Company issued a warrant to purchase up to 64,992 shares of Series A-2 convertible preferred stock (the “LSA Warrant”) with an exercise price of $6.15 (see Note 12). As of March 31, 2026 and December 31, 2025, the LSA Warrant to purchase 16,248 shares of Series A-2 convertible preferred stock was issued and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LSA Warrant liability was determined using an option pricing model with the following assumptions: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80" w:type="dxa"/>
            <w:vAlign w:val="bottom"/>
          </w:tcPr>
          <w:p>
            <w:pPr>
              <w:spacing w:after="0"/>
              <w:rPr>
                <w:sz w:val="20"/>
                <w:szCs w:val="20"/>
                <w:color w:val="auto"/>
              </w:rPr>
            </w:pPr>
            <w:r>
              <w:rPr>
                <w:rFonts w:ascii="Arial" w:cs="Arial" w:eastAsia="Arial" w:hAnsi="Arial"/>
                <w:sz w:val="18"/>
                <w:szCs w:val="18"/>
                <w:b w:val="1"/>
                <w:bCs w:val="1"/>
                <w:color w:val="auto"/>
              </w:rPr>
              <w:t>Significant Unobservable Inputs</w:t>
            </w:r>
          </w:p>
        </w:tc>
        <w:tc>
          <w:tcPr>
            <w:tcW w:w="2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March 31, 2026</w:t>
            </w:r>
          </w:p>
        </w:tc>
        <w:tc>
          <w:tcPr>
            <w:tcW w:w="160" w:type="dxa"/>
            <w:vAlign w:val="bottom"/>
          </w:tcPr>
          <w:p>
            <w:pPr>
              <w:spacing w:after="0"/>
              <w:rPr>
                <w:sz w:val="19"/>
                <w:szCs w:val="19"/>
                <w:color w:val="auto"/>
              </w:rPr>
            </w:pPr>
          </w:p>
        </w:tc>
        <w:tc>
          <w:tcPr>
            <w:tcW w:w="30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December 31, 2025</w:t>
            </w: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 until a liquidity event (in years)</w:t>
            </w:r>
          </w:p>
        </w:tc>
        <w:tc>
          <w:tcPr>
            <w:tcW w:w="234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2</w:t>
            </w:r>
          </w:p>
        </w:tc>
        <w:tc>
          <w:tcPr>
            <w:tcW w:w="3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2</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Volatility</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2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3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39"/>
        </w:trPr>
        <w:tc>
          <w:tcPr>
            <w:tcW w:w="5680" w:type="dxa"/>
            <w:vAlign w:val="bottom"/>
          </w:tcPr>
          <w:p>
            <w:pPr>
              <w:spacing w:after="0"/>
              <w:rPr>
                <w:sz w:val="20"/>
                <w:szCs w:val="20"/>
                <w:color w:val="auto"/>
              </w:rPr>
            </w:pPr>
            <w:r>
              <w:rPr>
                <w:rFonts w:ascii="Arial" w:cs="Arial" w:eastAsia="Arial" w:hAnsi="Arial"/>
                <w:sz w:val="18"/>
                <w:szCs w:val="18"/>
                <w:color w:val="auto"/>
              </w:rPr>
              <w:t>Annual dividend rate</w:t>
            </w:r>
          </w:p>
        </w:tc>
        <w:tc>
          <w:tcPr>
            <w:tcW w:w="2340" w:type="dxa"/>
            <w:vAlign w:val="bottom"/>
          </w:tcPr>
          <w:p>
            <w:pPr>
              <w:jc w:val="right"/>
              <w:spacing w:after="0"/>
              <w:rPr>
                <w:sz w:val="20"/>
                <w:szCs w:val="20"/>
                <w:color w:val="auto"/>
              </w:rPr>
            </w:pPr>
            <w:r>
              <w:rPr>
                <w:rFonts w:ascii="Arial" w:cs="Arial" w:eastAsia="Arial" w:hAnsi="Arial"/>
                <w:sz w:val="18"/>
                <w:szCs w:val="18"/>
                <w:color w:val="auto"/>
              </w:rPr>
              <w:t>0%</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following table presents a roll-forward of the aggregate fair values of the Company’s liabilities for which fair value is determined by Level 3 inputs: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Warrant Liability</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Contingent Consideration</w:t>
            </w:r>
          </w:p>
        </w:tc>
      </w:tr>
      <w:tr>
        <w:trPr>
          <w:trHeight w:val="19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as of January 1, 2026</w:t>
            </w:r>
          </w:p>
        </w:tc>
        <w:tc>
          <w:tcPr>
            <w:tcW w:w="3660" w:type="dxa"/>
            <w:vAlign w:val="bottom"/>
            <w:gridSpan w:val="2"/>
            <w:shd w:val="clear" w:color="auto" w:fill="CFF0FC"/>
          </w:tcPr>
          <w:p>
            <w:pPr>
              <w:jc w:val="right"/>
              <w:ind w:right="171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7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6,132</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Change in fair value</w:t>
            </w:r>
          </w:p>
        </w:tc>
        <w:tc>
          <w:tcPr>
            <w:tcW w:w="176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109</w:t>
            </w:r>
          </w:p>
        </w:tc>
      </w:tr>
      <w:tr>
        <w:trPr>
          <w:trHeight w:val="236"/>
        </w:trPr>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as of March 31, 2026</w:t>
            </w:r>
          </w:p>
        </w:tc>
        <w:tc>
          <w:tcPr>
            <w:tcW w:w="3660" w:type="dxa"/>
            <w:vAlign w:val="bottom"/>
            <w:gridSpan w:val="2"/>
            <w:shd w:val="clear" w:color="auto" w:fill="CFF0FC"/>
          </w:tcPr>
          <w:p>
            <w:pPr>
              <w:jc w:val="right"/>
              <w:ind w:right="171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7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6,241</w:t>
            </w:r>
          </w:p>
        </w:tc>
      </w:tr>
      <w:tr>
        <w:trPr>
          <w:trHeight w:val="632"/>
        </w:trPr>
        <w:tc>
          <w:tcPr>
            <w:tcW w:w="404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15</w:t>
            </w:r>
          </w:p>
        </w:tc>
        <w:tc>
          <w:tcPr>
            <w:tcW w:w="19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r>
      <w:tr>
        <w:trPr>
          <w:trHeight w:val="746"/>
        </w:trPr>
        <w:tc>
          <w:tcPr>
            <w:tcW w:w="40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-925195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-908050</wp:posOffset>
            </wp:positionV>
            <wp:extent cx="137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1"/>
        </w:trPr>
        <w:tc>
          <w:tcPr>
            <w:tcW w:w="4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Warrant Liability</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Contingent Consideration</w:t>
            </w:r>
          </w:p>
        </w:tc>
      </w:tr>
      <w:tr>
        <w:trPr>
          <w:trHeight w:val="19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as of January 1, 2025</w:t>
            </w:r>
          </w:p>
        </w:tc>
        <w:tc>
          <w:tcPr>
            <w:tcW w:w="3480" w:type="dxa"/>
            <w:vAlign w:val="bottom"/>
            <w:gridSpan w:val="2"/>
            <w:shd w:val="clear" w:color="auto" w:fill="CFF0FC"/>
          </w:tcPr>
          <w:p>
            <w:pPr>
              <w:jc w:val="right"/>
              <w:ind w:right="167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45</w:t>
            </w:r>
          </w:p>
        </w:tc>
        <w:tc>
          <w:tcPr>
            <w:tcW w:w="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7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10,179</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Change in fair value</w:t>
            </w:r>
          </w:p>
        </w:tc>
        <w:tc>
          <w:tcPr>
            <w:tcW w:w="1620" w:type="dxa"/>
            <w:vAlign w:val="bottom"/>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(5,648)</w:t>
            </w:r>
          </w:p>
        </w:tc>
      </w:tr>
      <w:tr>
        <w:trPr>
          <w:trHeight w:val="21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as of March 31, 2025</w:t>
            </w:r>
          </w:p>
        </w:tc>
        <w:tc>
          <w:tcPr>
            <w:tcW w:w="3480" w:type="dxa"/>
            <w:vAlign w:val="bottom"/>
            <w:gridSpan w:val="2"/>
            <w:shd w:val="clear" w:color="auto" w:fill="CFF0FC"/>
          </w:tcPr>
          <w:p>
            <w:pPr>
              <w:jc w:val="right"/>
              <w:ind w:right="167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45</w:t>
            </w:r>
          </w:p>
        </w:tc>
        <w:tc>
          <w:tcPr>
            <w:tcW w:w="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7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4,531</w:t>
            </w: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7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4"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Restricted Cash, and Marketable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marketable securities held as of March 31, 2026 and December 31, 2025.</w:t>
      </w:r>
    </w:p>
    <w:p>
      <w:pPr>
        <w:spacing w:after="0" w:line="239"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March 31, 2026</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left="130"/>
              <w:spacing w:after="0" w:line="177" w:lineRule="exact"/>
              <w:rPr>
                <w:sz w:val="20"/>
                <w:szCs w:val="20"/>
                <w:color w:val="auto"/>
              </w:rPr>
            </w:pPr>
            <w:r>
              <w:rPr>
                <w:rFonts w:ascii="Arial" w:cs="Arial" w:eastAsia="Arial" w:hAnsi="Arial"/>
                <w:sz w:val="18"/>
                <w:szCs w:val="18"/>
                <w:b w:val="1"/>
                <w:bCs w:val="1"/>
                <w:color w:val="auto"/>
                <w:w w:val="99"/>
              </w:rPr>
              <w:t>Gross</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5"/>
          </w:tcPr>
          <w:p>
            <w:pPr>
              <w:jc w:val="center"/>
              <w:ind w:right="320"/>
              <w:spacing w:after="0" w:line="177" w:lineRule="exact"/>
              <w:rPr>
                <w:sz w:val="20"/>
                <w:szCs w:val="20"/>
                <w:color w:val="auto"/>
              </w:rPr>
            </w:pPr>
            <w:r>
              <w:rPr>
                <w:rFonts w:ascii="Arial" w:cs="Arial" w:eastAsia="Arial" w:hAnsi="Arial"/>
                <w:sz w:val="18"/>
                <w:szCs w:val="18"/>
                <w:b w:val="1"/>
                <w:bCs w:val="1"/>
                <w:color w:val="auto"/>
                <w:w w:val="99"/>
              </w:rPr>
              <w:t>Gross</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03"/>
        </w:trPr>
        <w:tc>
          <w:tcPr>
            <w:tcW w:w="5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Amortized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5"/>
          </w:tcPr>
          <w:p>
            <w:pPr>
              <w:jc w:val="center"/>
              <w:ind w:right="320"/>
              <w:spacing w:after="0" w:line="202"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9"/>
              </w:rPr>
              <w:t>Cost</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99"/>
              </w:rPr>
              <w:t>Gains</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b w:val="1"/>
                <w:bCs w:val="1"/>
                <w:color w:val="auto"/>
                <w:w w:val="99"/>
              </w:rPr>
              <w:t>Losses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590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U.S. Treasury bills and U.S. Treasury notes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30"/>
              <w:spacing w:after="0" w:line="202" w:lineRule="exact"/>
              <w:rPr>
                <w:sz w:val="20"/>
                <w:szCs w:val="20"/>
                <w:color w:val="auto"/>
              </w:rPr>
            </w:pPr>
            <w:r>
              <w:rPr>
                <w:rFonts w:ascii="Arial" w:cs="Arial" w:eastAsia="Arial" w:hAnsi="Arial"/>
                <w:sz w:val="18"/>
                <w:szCs w:val="18"/>
                <w:color w:val="auto"/>
              </w:rPr>
              <w:t>140,116</w:t>
            </w: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(86)</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140,030</w:t>
            </w:r>
          </w:p>
        </w:tc>
        <w:tc>
          <w:tcPr>
            <w:tcW w:w="100" w:type="dxa"/>
            <w:vAlign w:val="bottom"/>
            <w:tcBorders>
              <w:bottom w:val="single" w:sz="8" w:color="auto"/>
            </w:tcBorders>
          </w:tcPr>
          <w:p>
            <w:pPr>
              <w:spacing w:after="0"/>
              <w:rPr>
                <w:sz w:val="17"/>
                <w:szCs w:val="17"/>
                <w:color w:val="auto"/>
              </w:rPr>
            </w:pPr>
          </w:p>
        </w:tc>
      </w:tr>
      <w:tr>
        <w:trPr>
          <w:trHeight w:val="216"/>
        </w:trPr>
        <w:tc>
          <w:tcPr>
            <w:tcW w:w="5900" w:type="dxa"/>
            <w:vAlign w:val="bottom"/>
            <w:gridSpan w:val="3"/>
            <w:shd w:val="clear" w:color="auto" w:fill="CFF0FC"/>
          </w:tcPr>
          <w:p>
            <w:pPr>
              <w:ind w:left="580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140,116</w:t>
            </w:r>
          </w:p>
        </w:tc>
        <w:tc>
          <w:tcPr>
            <w:tcW w:w="860" w:type="dxa"/>
            <w:vAlign w:val="bottom"/>
            <w:gridSpan w:val="2"/>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140,030</w:t>
            </w:r>
          </w:p>
        </w:tc>
        <w:tc>
          <w:tcPr>
            <w:tcW w:w="100" w:type="dxa"/>
            <w:vAlign w:val="bottom"/>
            <w:shd w:val="clear" w:color="auto" w:fill="CFF0FC"/>
          </w:tcPr>
          <w:p>
            <w:pPr>
              <w:spacing w:after="0"/>
              <w:rPr>
                <w:sz w:val="18"/>
                <w:szCs w:val="18"/>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r>
        <w:trPr>
          <w:trHeight w:val="426"/>
        </w:trPr>
        <w:tc>
          <w:tcPr>
            <w:tcW w:w="52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right"/>
              <w:ind w:right="230"/>
              <w:spacing w:after="0"/>
              <w:rPr>
                <w:sz w:val="20"/>
                <w:szCs w:val="20"/>
                <w:color w:val="auto"/>
              </w:rPr>
            </w:pPr>
            <w:r>
              <w:rPr>
                <w:rFonts w:ascii="Arial" w:cs="Arial" w:eastAsia="Arial" w:hAnsi="Arial"/>
                <w:sz w:val="18"/>
                <w:szCs w:val="18"/>
                <w:b w:val="1"/>
                <w:bCs w:val="1"/>
                <w:color w:val="auto"/>
              </w:rPr>
              <w:t>December 31, 2025</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5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center"/>
              <w:ind w:right="380"/>
              <w:spacing w:after="0" w:line="177" w:lineRule="exact"/>
              <w:rPr>
                <w:sz w:val="20"/>
                <w:szCs w:val="20"/>
                <w:color w:val="auto"/>
              </w:rPr>
            </w:pPr>
            <w:r>
              <w:rPr>
                <w:rFonts w:ascii="Arial" w:cs="Arial" w:eastAsia="Arial" w:hAnsi="Arial"/>
                <w:sz w:val="18"/>
                <w:szCs w:val="18"/>
                <w:b w:val="1"/>
                <w:bCs w:val="1"/>
                <w:color w:val="auto"/>
                <w:w w:val="99"/>
              </w:rPr>
              <w:t>Gross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
              <w:spacing w:after="0" w:line="177" w:lineRule="exact"/>
              <w:rPr>
                <w:sz w:val="20"/>
                <w:szCs w:val="20"/>
                <w:color w:val="auto"/>
              </w:rPr>
            </w:pPr>
            <w:r>
              <w:rPr>
                <w:rFonts w:ascii="Arial" w:cs="Arial" w:eastAsia="Arial" w:hAnsi="Arial"/>
                <w:sz w:val="18"/>
                <w:szCs w:val="18"/>
                <w:b w:val="1"/>
                <w:bCs w:val="1"/>
                <w:color w:val="auto"/>
                <w:w w:val="99"/>
              </w:rPr>
              <w:t>Gross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4"/>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Unrealized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8"/>
              </w:rPr>
              <w:t>Unrealized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240" w:type="dxa"/>
            <w:vAlign w:val="bottom"/>
          </w:tcPr>
          <w:p>
            <w:pPr>
              <w:spacing w:after="0"/>
              <w:rPr>
                <w:sz w:val="19"/>
                <w:szCs w:val="19"/>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Amortized Cost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99"/>
              </w:rPr>
              <w:t>Gains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Losses</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r>
      <w:tr>
        <w:trPr>
          <w:trHeight w:val="196"/>
        </w:trPr>
        <w:tc>
          <w:tcPr>
            <w:tcW w:w="590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U.S. Treasury bills and U.S. Treasury notes</w:t>
            </w:r>
          </w:p>
        </w:tc>
        <w:tc>
          <w:tcPr>
            <w:tcW w:w="760" w:type="dxa"/>
            <w:vAlign w:val="bottom"/>
          </w:tcPr>
          <w:p>
            <w:pPr>
              <w:jc w:val="center"/>
              <w:ind w:left="10"/>
              <w:spacing w:after="0" w:line="202" w:lineRule="exact"/>
              <w:rPr>
                <w:sz w:val="20"/>
                <w:szCs w:val="20"/>
                <w:color w:val="auto"/>
              </w:rPr>
            </w:pPr>
            <w:r>
              <w:rPr>
                <w:rFonts w:ascii="Arial" w:cs="Arial" w:eastAsia="Arial" w:hAnsi="Arial"/>
                <w:sz w:val="18"/>
                <w:szCs w:val="18"/>
                <w:color w:val="auto"/>
              </w:rPr>
              <w:t>174,776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174,869</w:t>
            </w:r>
          </w:p>
        </w:tc>
        <w:tc>
          <w:tcPr>
            <w:tcW w:w="100" w:type="dxa"/>
            <w:vAlign w:val="bottom"/>
          </w:tcPr>
          <w:p>
            <w:pPr>
              <w:spacing w:after="0"/>
              <w:rPr>
                <w:sz w:val="17"/>
                <w:szCs w:val="17"/>
                <w:color w:val="auto"/>
              </w:rPr>
            </w:pPr>
          </w:p>
        </w:tc>
      </w:tr>
      <w:tr>
        <w:trPr>
          <w:trHeight w:val="232"/>
        </w:trPr>
        <w:tc>
          <w:tcPr>
            <w:tcW w:w="524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rPr>
              <w:t>174,776</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174,869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-1128395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-1111250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-1128395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-1111250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-1128395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-1111250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right="60"/>
        <w:spacing w:after="0" w:line="241" w:lineRule="auto"/>
        <w:rPr>
          <w:sz w:val="20"/>
          <w:szCs w:val="20"/>
          <w:color w:val="auto"/>
        </w:rPr>
      </w:pPr>
      <w:r>
        <w:rPr>
          <w:rFonts w:ascii="Arial" w:cs="Arial" w:eastAsia="Arial" w:hAnsi="Arial"/>
          <w:sz w:val="18"/>
          <w:szCs w:val="18"/>
          <w:color w:val="auto"/>
        </w:rPr>
        <w:t>The Company determined that there was no material credit risk associated with the above investments as of March 31, 2026 and December 31, 2025. The Company has the intent and ability to hold such securities until recovery. As a result, the Company did not record any charges for credit-related impairments for its marketable securities during the three months ended March 31, 2026 and 2025. No available-for-sale debt securities held as of March 31, 2026 had remaining maturities greater than 12 months.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14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410"/>
        </w:trPr>
        <w:tc>
          <w:tcPr>
            <w:tcW w:w="7720" w:type="dxa"/>
            <w:vAlign w:val="bottom"/>
            <w:gridSpan w:val="2"/>
          </w:tcPr>
          <w:p>
            <w:pPr>
              <w:spacing w:after="0"/>
              <w:rPr>
                <w:sz w:val="20"/>
                <w:szCs w:val="20"/>
                <w:color w:val="auto"/>
              </w:rPr>
            </w:pPr>
            <w:r>
              <w:rPr>
                <w:rFonts w:ascii="Arial" w:cs="Arial" w:eastAsia="Arial" w:hAnsi="Arial"/>
                <w:sz w:val="18"/>
                <w:szCs w:val="18"/>
                <w:color w:val="auto"/>
              </w:rPr>
              <w:t>Property and equipment and related accumulated depreciation consist of the following:</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9"/>
        </w:trPr>
        <w:tc>
          <w:tcPr>
            <w:tcW w:w="5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58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March 31, 2026</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r>
      <w:tr>
        <w:trPr>
          <w:trHeight w:val="196"/>
        </w:trPr>
        <w:tc>
          <w:tcPr>
            <w:tcW w:w="77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18,677</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18,651</w:t>
            </w:r>
          </w:p>
        </w:tc>
      </w:tr>
      <w:tr>
        <w:trPr>
          <w:trHeight w:val="203"/>
        </w:trPr>
        <w:tc>
          <w:tcPr>
            <w:tcW w:w="7720" w:type="dxa"/>
            <w:vAlign w:val="bottom"/>
            <w:gridSpan w:val="2"/>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120" w:type="dxa"/>
            <w:vAlign w:val="bottom"/>
          </w:tcPr>
          <w:p>
            <w:pPr>
              <w:spacing w:after="0"/>
              <w:rPr>
                <w:sz w:val="17"/>
                <w:szCs w:val="17"/>
                <w:color w:val="auto"/>
              </w:rPr>
            </w:pPr>
          </w:p>
        </w:tc>
        <w:tc>
          <w:tcPr>
            <w:tcW w:w="1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686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686</w:t>
            </w:r>
          </w:p>
        </w:tc>
      </w:tr>
      <w:tr>
        <w:trPr>
          <w:trHeight w:val="203"/>
        </w:trPr>
        <w:tc>
          <w:tcPr>
            <w:tcW w:w="77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Computer hardware and software</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1,055</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1,029</w:t>
            </w:r>
          </w:p>
        </w:tc>
      </w:tr>
      <w:tr>
        <w:trPr>
          <w:trHeight w:val="203"/>
        </w:trPr>
        <w:tc>
          <w:tcPr>
            <w:tcW w:w="7720" w:type="dxa"/>
            <w:vAlign w:val="bottom"/>
            <w:gridSpan w:val="2"/>
          </w:tcPr>
          <w:p>
            <w:pPr>
              <w:spacing w:after="0" w:line="202" w:lineRule="exact"/>
              <w:rPr>
                <w:sz w:val="20"/>
                <w:szCs w:val="20"/>
                <w:color w:val="auto"/>
              </w:rPr>
            </w:pPr>
            <w:r>
              <w:rPr>
                <w:rFonts w:ascii="Arial" w:cs="Arial" w:eastAsia="Arial" w:hAnsi="Arial"/>
                <w:sz w:val="18"/>
                <w:szCs w:val="18"/>
                <w:color w:val="auto"/>
              </w:rPr>
              <w:t>Finance lease</w:t>
            </w:r>
          </w:p>
        </w:tc>
        <w:tc>
          <w:tcPr>
            <w:tcW w:w="120" w:type="dxa"/>
            <w:vAlign w:val="bottom"/>
          </w:tcPr>
          <w:p>
            <w:pPr>
              <w:spacing w:after="0"/>
              <w:rPr>
                <w:sz w:val="17"/>
                <w:szCs w:val="17"/>
                <w:color w:val="auto"/>
              </w:rPr>
            </w:pPr>
          </w:p>
        </w:tc>
        <w:tc>
          <w:tcPr>
            <w:tcW w:w="1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502</w:t>
            </w:r>
          </w:p>
        </w:tc>
      </w:tr>
      <w:tr>
        <w:trPr>
          <w:trHeight w:val="203"/>
        </w:trPr>
        <w:tc>
          <w:tcPr>
            <w:tcW w:w="772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510</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501</w:t>
            </w:r>
          </w:p>
        </w:tc>
      </w:tr>
      <w:tr>
        <w:trPr>
          <w:trHeight w:val="196"/>
        </w:trPr>
        <w:tc>
          <w:tcPr>
            <w:tcW w:w="58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21,663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21,369</w:t>
            </w:r>
          </w:p>
        </w:tc>
      </w:tr>
      <w:tr>
        <w:trPr>
          <w:trHeight w:val="203"/>
        </w:trPr>
        <w:tc>
          <w:tcPr>
            <w:tcW w:w="772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(15,107)</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(14,160)</w:t>
            </w: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71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6,556</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7,209</w:t>
            </w:r>
          </w:p>
        </w:tc>
      </w:tr>
      <w:tr>
        <w:trPr>
          <w:trHeight w:val="20"/>
        </w:trPr>
        <w:tc>
          <w:tcPr>
            <w:tcW w:w="5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-427990</wp:posOffset>
            </wp:positionV>
            <wp:extent cx="1117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111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Total depreciation expense for the three months ended March 31, 2026 and 2025, was $1.0 million and $1.2 million, respectively. For the three months ended March 31, 2026 and 2025, the Company recognized gains on disposal of $33 thousand and losses on disposal of $0.5 million, respectively, within research and development expenses on the condensed consolidated statements of operations and comprehensive loss.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8" w:name="page19"/>
    <w:bookmarkEnd w:id="18"/>
    <w:p>
      <w:pPr>
        <w:ind w:left="760" w:hanging="752"/>
        <w:spacing w:after="0"/>
        <w:tabs>
          <w:tab w:leader="none" w:pos="7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6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March 31, 2026</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96"/>
        </w:trPr>
        <w:tc>
          <w:tcPr>
            <w:tcW w:w="5800" w:type="dxa"/>
            <w:vAlign w:val="bottom"/>
            <w:gridSpan w:val="2"/>
            <w:shd w:val="clear" w:color="auto" w:fill="CCECFF"/>
          </w:tcPr>
          <w:p>
            <w:pPr>
              <w:spacing w:after="0" w:line="196" w:lineRule="exact"/>
              <w:rPr>
                <w:sz w:val="20"/>
                <w:szCs w:val="20"/>
                <w:color w:val="auto"/>
              </w:rPr>
            </w:pPr>
            <w:r>
              <w:rPr>
                <w:rFonts w:ascii="Arial" w:cs="Arial" w:eastAsia="Arial" w:hAnsi="Arial"/>
                <w:sz w:val="18"/>
                <w:szCs w:val="18"/>
                <w:color w:val="auto"/>
              </w:rPr>
              <w:t>Employee compensation, benefits, and recruiting</w:t>
            </w:r>
          </w:p>
        </w:tc>
        <w:tc>
          <w:tcPr>
            <w:tcW w:w="2040" w:type="dxa"/>
            <w:vAlign w:val="bottom"/>
            <w:gridSpan w:val="2"/>
            <w:shd w:val="clear" w:color="auto" w:fill="CCEC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CECFF"/>
          </w:tcPr>
          <w:p>
            <w:pPr>
              <w:jc w:val="right"/>
              <w:ind w:right="50"/>
              <w:spacing w:after="0" w:line="196" w:lineRule="exact"/>
              <w:rPr>
                <w:sz w:val="20"/>
                <w:szCs w:val="20"/>
                <w:color w:val="auto"/>
              </w:rPr>
            </w:pPr>
            <w:r>
              <w:rPr>
                <w:rFonts w:ascii="Arial" w:cs="Arial" w:eastAsia="Arial" w:hAnsi="Arial"/>
                <w:sz w:val="18"/>
                <w:szCs w:val="18"/>
                <w:color w:val="auto"/>
              </w:rPr>
              <w:t>2,353</w:t>
            </w:r>
          </w:p>
        </w:tc>
        <w:tc>
          <w:tcPr>
            <w:tcW w:w="300" w:type="dxa"/>
            <w:vAlign w:val="bottom"/>
            <w:gridSpan w:val="2"/>
            <w:shd w:val="clear" w:color="auto" w:fill="CCEC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CFF"/>
          </w:tcPr>
          <w:p>
            <w:pPr>
              <w:jc w:val="right"/>
              <w:ind w:right="30"/>
              <w:spacing w:after="0" w:line="196" w:lineRule="exact"/>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line="202" w:lineRule="exact"/>
              <w:rPr>
                <w:sz w:val="20"/>
                <w:szCs w:val="20"/>
                <w:color w:val="auto"/>
              </w:rPr>
            </w:pPr>
            <w:r>
              <w:rPr>
                <w:rFonts w:ascii="Arial" w:cs="Arial" w:eastAsia="Arial" w:hAnsi="Arial"/>
                <w:sz w:val="18"/>
                <w:szCs w:val="18"/>
                <w:color w:val="auto"/>
              </w:rPr>
              <w:t>External research and supplies</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3,049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CFF"/>
          </w:tcPr>
          <w:p>
            <w:pPr>
              <w:spacing w:after="0" w:line="202" w:lineRule="exact"/>
              <w:rPr>
                <w:sz w:val="20"/>
                <w:szCs w:val="20"/>
                <w:color w:val="auto"/>
              </w:rPr>
            </w:pPr>
            <w:r>
              <w:rPr>
                <w:rFonts w:ascii="Arial" w:cs="Arial" w:eastAsia="Arial" w:hAnsi="Arial"/>
                <w:sz w:val="18"/>
                <w:szCs w:val="18"/>
                <w:color w:val="auto"/>
              </w:rPr>
              <w:t>Deferred offering costs</w:t>
            </w:r>
          </w:p>
        </w:tc>
        <w:tc>
          <w:tcPr>
            <w:tcW w:w="19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60" w:type="dxa"/>
            <w:vAlign w:val="bottom"/>
            <w:shd w:val="clear" w:color="auto" w:fill="CCECFF"/>
          </w:tcPr>
          <w:p>
            <w:pPr>
              <w:jc w:val="right"/>
              <w:ind w:right="50"/>
              <w:spacing w:after="0" w:line="202" w:lineRule="exact"/>
              <w:rPr>
                <w:sz w:val="20"/>
                <w:szCs w:val="20"/>
                <w:color w:val="auto"/>
              </w:rPr>
            </w:pPr>
            <w:r>
              <w:rPr>
                <w:rFonts w:ascii="Arial" w:cs="Arial" w:eastAsia="Arial" w:hAnsi="Arial"/>
                <w:sz w:val="18"/>
                <w:szCs w:val="18"/>
                <w:color w:val="auto"/>
              </w:rPr>
              <w:t>1,447</w:t>
            </w:r>
          </w:p>
        </w:tc>
        <w:tc>
          <w:tcPr>
            <w:tcW w:w="1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40" w:type="dxa"/>
            <w:vAlign w:val="bottom"/>
            <w:shd w:val="clear" w:color="auto" w:fill="CCECFF"/>
          </w:tcPr>
          <w:p>
            <w:pPr>
              <w:jc w:val="right"/>
              <w:ind w:right="3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line="202" w:lineRule="exact"/>
              <w:rPr>
                <w:sz w:val="20"/>
                <w:szCs w:val="20"/>
                <w:color w:val="auto"/>
              </w:rPr>
            </w:pPr>
            <w:r>
              <w:rPr>
                <w:rFonts w:ascii="Arial" w:cs="Arial" w:eastAsia="Arial" w:hAnsi="Arial"/>
                <w:sz w:val="18"/>
                <w:szCs w:val="18"/>
                <w:color w:val="auto"/>
              </w:rPr>
              <w:t>Professional fees</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03"/>
        </w:trPr>
        <w:tc>
          <w:tcPr>
            <w:tcW w:w="600" w:type="dxa"/>
            <w:vAlign w:val="bottom"/>
            <w:tcBorders>
              <w:bottom w:val="single" w:sz="8" w:color="CCECFF"/>
            </w:tcBorders>
            <w:shd w:val="clear" w:color="auto" w:fill="CCECFF"/>
          </w:tcPr>
          <w:p>
            <w:pPr>
              <w:spacing w:after="0" w:line="202" w:lineRule="exact"/>
              <w:rPr>
                <w:sz w:val="20"/>
                <w:szCs w:val="20"/>
                <w:color w:val="auto"/>
              </w:rPr>
            </w:pPr>
            <w:r>
              <w:rPr>
                <w:rFonts w:ascii="Arial" w:cs="Arial" w:eastAsia="Arial" w:hAnsi="Arial"/>
                <w:sz w:val="18"/>
                <w:szCs w:val="18"/>
                <w:color w:val="auto"/>
              </w:rPr>
              <w:t>Other</w:t>
            </w:r>
          </w:p>
        </w:tc>
        <w:tc>
          <w:tcPr>
            <w:tcW w:w="5200" w:type="dxa"/>
            <w:vAlign w:val="bottom"/>
            <w:tcBorders>
              <w:bottom w:val="single" w:sz="8" w:color="CCECFF"/>
            </w:tcBorders>
            <w:shd w:val="clear" w:color="auto" w:fill="CCECFF"/>
          </w:tcPr>
          <w:p>
            <w:pPr>
              <w:spacing w:after="0"/>
              <w:rPr>
                <w:sz w:val="17"/>
                <w:szCs w:val="17"/>
                <w:color w:val="auto"/>
              </w:rPr>
            </w:pPr>
          </w:p>
        </w:tc>
        <w:tc>
          <w:tcPr>
            <w:tcW w:w="192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1560" w:type="dxa"/>
            <w:vAlign w:val="bottom"/>
            <w:tcBorders>
              <w:bottom w:val="single" w:sz="8" w:color="auto"/>
            </w:tcBorders>
            <w:shd w:val="clear" w:color="auto" w:fill="CCECFF"/>
          </w:tcPr>
          <w:p>
            <w:pPr>
              <w:jc w:val="right"/>
              <w:ind w:right="50"/>
              <w:spacing w:after="0" w:line="202" w:lineRule="exact"/>
              <w:rPr>
                <w:sz w:val="20"/>
                <w:szCs w:val="20"/>
                <w:color w:val="auto"/>
              </w:rPr>
            </w:pPr>
            <w:r>
              <w:rPr>
                <w:rFonts w:ascii="Arial" w:cs="Arial" w:eastAsia="Arial" w:hAnsi="Arial"/>
                <w:sz w:val="18"/>
                <w:szCs w:val="18"/>
                <w:color w:val="auto"/>
              </w:rPr>
              <w:t>399</w:t>
            </w:r>
          </w:p>
        </w:tc>
        <w:tc>
          <w:tcPr>
            <w:tcW w:w="16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540" w:type="dxa"/>
            <w:vAlign w:val="bottom"/>
            <w:tcBorders>
              <w:bottom w:val="single" w:sz="8" w:color="auto"/>
            </w:tcBorders>
            <w:shd w:val="clear" w:color="auto" w:fill="CCECFF"/>
          </w:tcPr>
          <w:p>
            <w:pPr>
              <w:jc w:val="right"/>
              <w:ind w:right="30"/>
              <w:spacing w:after="0" w:line="202"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5200" w:type="dxa"/>
            <w:vAlign w:val="bottom"/>
          </w:tcPr>
          <w:p>
            <w:pPr>
              <w:spacing w:after="0"/>
              <w:rPr>
                <w:sz w:val="17"/>
                <w:szCs w:val="17"/>
                <w:color w:val="auto"/>
              </w:rPr>
            </w:pPr>
          </w:p>
        </w:tc>
        <w:tc>
          <w:tcPr>
            <w:tcW w:w="2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8,618</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13,392</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52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Leases</w:t>
            </w: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00" w:type="dxa"/>
            <w:vAlign w:val="bottom"/>
            <w:vMerge w:val="continue"/>
          </w:tcPr>
          <w:p>
            <w:pPr>
              <w:spacing w:after="0"/>
              <w:rPr>
                <w:sz w:val="24"/>
                <w:szCs w:val="24"/>
                <w:color w:val="auto"/>
              </w:rPr>
            </w:pPr>
          </w:p>
        </w:tc>
        <w:tc>
          <w:tcPr>
            <w:tcW w:w="520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-461645</wp:posOffset>
            </wp:positionV>
            <wp:extent cx="1117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September 2021, the Company entered into an eight-year lease agreement for 45,632 square feet of space for its corporate headquarters located in Boston, Massachusetts. The Company is also party to several operating leases for office and laboratory space in San Diego, California, Ann Arbor, Michigan, New York, New York, and Frankfurt, Germany, as well as leases for certain laboratory equipment.</w:t>
      </w:r>
    </w:p>
    <w:p>
      <w:pPr>
        <w:spacing w:after="0" w:line="16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During the first quarter of 2025, the Company recorded an impairment loss of $5.4 million pertaining to the right-of-use (“ROU”) asset for the San Diego lease as a result of the Company’s decision to permanently cease use of the leased space. The impairment loss was measured as the excess of the carrying amount over the impaired asset group’s estimated fair value, which was determined using a discounted cash flow model. The impairment is included as a component of research and development expenses in the condensed consolidated statements of operations and comprehensive loss.</w:t>
      </w:r>
    </w:p>
    <w:p>
      <w:pPr>
        <w:spacing w:after="0" w:line="17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June 2025, the Company entered into a lease extension agreement for its Ann Arbor laboratory space for an additional one-year term. The Company accounted for the lease extension as a modification of the existing lease and remeasured the ROU asset and lease liability by calculating the present value of lease payments, discounted at 10.1%, the Company’s incremental borrowing rate in June 2025, over the new lease term. The modification resulted in an increase in the ROU asset and lease liability of $0.3 million at the time of the modification.</w:t>
      </w:r>
    </w:p>
    <w:p>
      <w:pPr>
        <w:spacing w:after="0" w:line="174"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During the third quarter of 2025, the Company entered into a sublease for its New York office space. The sublease commenced on October 15, 2025 and expires on February 28, 2029. For the three months ended March 31, 2026, the Company recognized $0.1 million of sublease income, which was recorded as a reduction of lease cost in the condensed consolidated statements of operations and comprehensive loss.</w:t>
      </w:r>
    </w:p>
    <w:p>
      <w:pPr>
        <w:spacing w:after="0" w:line="152"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components of lease costs are recorded within the condensed consolidated statements of operations and comprehensive loss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2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costs</w:t>
            </w:r>
          </w:p>
        </w:tc>
        <w:tc>
          <w:tcPr>
            <w:tcW w:w="4880" w:type="dxa"/>
            <w:vAlign w:val="bottom"/>
            <w:gridSpan w:val="2"/>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1,513</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Variable lease costs</w:t>
            </w:r>
          </w:p>
        </w:tc>
        <w:tc>
          <w:tcPr>
            <w:tcW w:w="3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Sublease income</w:t>
            </w:r>
          </w:p>
        </w:tc>
        <w:tc>
          <w:tcPr>
            <w:tcW w:w="37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Pr>
          <w:p>
            <w:pPr>
              <w:spacing w:after="0" w:line="182" w:lineRule="exact"/>
              <w:rPr>
                <w:sz w:val="20"/>
                <w:szCs w:val="20"/>
                <w:color w:val="auto"/>
              </w:rPr>
            </w:pPr>
            <w:r>
              <w:rPr>
                <w:rFonts w:ascii="Arial" w:cs="Arial" w:eastAsia="Arial" w:hAnsi="Arial"/>
                <w:sz w:val="18"/>
                <w:szCs w:val="18"/>
                <w:color w:val="auto"/>
              </w:rPr>
              <w:t>Total lease costs, net</w:t>
            </w:r>
          </w:p>
        </w:tc>
        <w:tc>
          <w:tcPr>
            <w:tcW w:w="4880" w:type="dxa"/>
            <w:vAlign w:val="bottom"/>
            <w:gridSpan w:val="2"/>
          </w:tcPr>
          <w:p>
            <w:pPr>
              <w:jc w:val="right"/>
              <w:ind w:right="97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2,198</w:t>
            </w:r>
          </w:p>
        </w:tc>
        <w:tc>
          <w:tcPr>
            <w:tcW w:w="180" w:type="dxa"/>
            <w:vAlign w:val="bottom"/>
          </w:tcPr>
          <w:p>
            <w:pPr>
              <w:spacing w:after="0"/>
              <w:rPr>
                <w:sz w:val="17"/>
                <w:szCs w:val="17"/>
                <w:color w:val="auto"/>
              </w:rPr>
            </w:pPr>
          </w:p>
        </w:tc>
        <w:tc>
          <w:tcPr>
            <w:tcW w:w="1340" w:type="dxa"/>
            <w:vAlign w:val="bottom"/>
            <w:gridSpan w:val="2"/>
          </w:tcPr>
          <w:p>
            <w:pPr>
              <w:jc w:val="right"/>
              <w:ind w:right="1030"/>
              <w:spacing w:after="0" w:line="18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2,521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720" w:type="dxa"/>
            <w:vAlign w:val="bottom"/>
            <w:vMerge w:val="restart"/>
          </w:tcPr>
          <w:p>
            <w:pPr>
              <w:jc w:val="right"/>
              <w:ind w:right="1550"/>
              <w:spacing w:after="0"/>
              <w:rPr>
                <w:sz w:val="20"/>
                <w:szCs w:val="20"/>
                <w:color w:val="auto"/>
              </w:rPr>
            </w:pPr>
            <w:r>
              <w:rPr>
                <w:rFonts w:ascii="Arial" w:cs="Arial" w:eastAsia="Arial" w:hAnsi="Arial"/>
                <w:sz w:val="18"/>
                <w:szCs w:val="18"/>
                <w:color w:val="auto"/>
              </w:rPr>
              <w:t>17</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36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6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-1062355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9" w:name="page20"/>
    <w:bookmarkEnd w:id="19"/>
    <w:p>
      <w:pPr>
        <w:ind w:right="80"/>
        <w:spacing w:after="0" w:line="247" w:lineRule="auto"/>
        <w:rPr>
          <w:sz w:val="20"/>
          <w:szCs w:val="20"/>
          <w:color w:val="auto"/>
        </w:rPr>
      </w:pPr>
      <w:r>
        <w:rPr>
          <w:rFonts w:ascii="Arial" w:cs="Arial" w:eastAsia="Arial" w:hAnsi="Arial"/>
          <w:sz w:val="18"/>
          <w:szCs w:val="18"/>
          <w:color w:val="auto"/>
        </w:rPr>
        <w:t>For the three months ended March 31, 2026 and 2025, the Company recognized interest expense related to finance leases of $10 thousand and $2 thousand, respectively, which is included within interest expense in the condensed consolidated statements of operations and comprehensive loss. Supplemental cash flow information related to the Company’s leases for three months ended March 31, 2026 and 2025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19"/>
                <w:szCs w:val="19"/>
                <w:color w:val="auto"/>
              </w:rPr>
            </w:pPr>
          </w:p>
        </w:tc>
        <w:tc>
          <w:tcPr>
            <w:tcW w:w="35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96"/>
        </w:trPr>
        <w:tc>
          <w:tcPr>
            <w:tcW w:w="7360" w:type="dxa"/>
            <w:vAlign w:val="bottom"/>
            <w:gridSpan w:val="2"/>
            <w:vMerge w:val="continue"/>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2026</w:t>
            </w: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060" w:type="dxa"/>
            <w:vAlign w:val="bottom"/>
          </w:tcPr>
          <w:p>
            <w:pPr>
              <w:ind w:left="4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1,881</w:t>
            </w:r>
          </w:p>
        </w:tc>
        <w:tc>
          <w:tcPr>
            <w:tcW w:w="6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shd w:val="clear" w:color="auto" w:fill="CFF0FC"/>
          </w:tcPr>
          <w:p>
            <w:pPr>
              <w:spacing w:after="0"/>
              <w:rPr>
                <w:sz w:val="17"/>
                <w:szCs w:val="17"/>
                <w:color w:val="auto"/>
              </w:rPr>
            </w:pPr>
          </w:p>
        </w:tc>
        <w:tc>
          <w:tcPr>
            <w:tcW w:w="706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Operating cash flows for finance leases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6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060" w:type="dxa"/>
            <w:vAlign w:val="bottom"/>
          </w:tcPr>
          <w:p>
            <w:pPr>
              <w:ind w:left="40"/>
              <w:spacing w:after="0" w:line="202" w:lineRule="exact"/>
              <w:rPr>
                <w:sz w:val="20"/>
                <w:szCs w:val="20"/>
                <w:color w:val="auto"/>
              </w:rPr>
            </w:pPr>
            <w:r>
              <w:rPr>
                <w:rFonts w:ascii="Arial" w:cs="Arial" w:eastAsia="Arial" w:hAnsi="Arial"/>
                <w:sz w:val="18"/>
                <w:szCs w:val="18"/>
                <w:color w:val="auto"/>
              </w:rPr>
              <w:t>Financing cash outflows for finance leases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6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Right-of-use assets obtained in exchange for new finance lease liabilities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w:t>
            </w:r>
          </w:p>
        </w:tc>
        <w:tc>
          <w:tcPr>
            <w:tcW w:w="6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1"/>
        </w:trPr>
        <w:tc>
          <w:tcPr>
            <w:tcW w:w="3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060" w:type="dxa"/>
            <w:vAlign w:val="bottom"/>
          </w:tcPr>
          <w:p>
            <w:pPr>
              <w:ind w:left="46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 has two classes of common stock that are authorized and outstanding: voting and non-voting. Holders of voting common stock are entitled to one vote per share on all matters on which stockholders have the right to vote, including director elections. Holders of non-voting common stock are not entitled to vote, except as may be required under Delaware law. All other rights and privileges of voting common stock and non-voting common stock are the same. Holders of common stock are entitled to dividends when and if declared by the Company’s Board of Directors, subject to the participation and priority rights of the Company’s outstanding convertible preferred stock. As of March 31, 2026, there were 2,400,099 shares of voting common stock and 81,240 shares of non-voting common stock issued and outstanding. In addition, the Company issued 153,311 issued shares of common stock that were subject to vesting as of March 31, 2026 (see Note 13).</w:t>
      </w:r>
    </w:p>
    <w:p>
      <w:pPr>
        <w:spacing w:after="0" w:line="180"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Company’s outstanding non-voting common stock automatically converted into an aggregate of 8,359 shares of its common stock immediately upon the closing of the IPO.</w:t>
      </w:r>
    </w:p>
    <w:p>
      <w:pPr>
        <w:spacing w:after="0" w:line="154" w:lineRule="exact"/>
        <w:rPr>
          <w:sz w:val="20"/>
          <w:szCs w:val="20"/>
          <w:color w:val="auto"/>
        </w:rPr>
      </w:pPr>
    </w:p>
    <w:p>
      <w:pPr>
        <w:ind w:left="760" w:hanging="752"/>
        <w:spacing w:after="0"/>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2021, the Company issued Series A, Series A-1 and Series A-2 convertible preferred stock in exchange for cash and the conversion of certain promissory notes. In March 2022, the Company issued an additional 1,624,803 shares of Series A-2 convertible preferred stock at a purchase price of $6.15 per share for an aggregate purchase price of $10 million.</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May 2022, the Company issued and sold 14,469,169 shares of Series B convertible preferred stock at a purchase price of $6.32 per share for an aggregate purchase price of $91.4 million. In September 2022, the Company issued an additional 12,132,191 shares of Series B convertible preferred stock to the same investors at $6.32 per share for an aggregate purchase price of $76.7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0" w:name="page21"/>
    <w:bookmarkEnd w:id="20"/>
    <w:p>
      <w:pPr>
        <w:ind w:right="80"/>
        <w:spacing w:after="0" w:line="266" w:lineRule="auto"/>
        <w:rPr>
          <w:sz w:val="20"/>
          <w:szCs w:val="20"/>
          <w:color w:val="auto"/>
        </w:rPr>
      </w:pPr>
      <w:r>
        <w:rPr>
          <w:rFonts w:ascii="Arial" w:cs="Arial" w:eastAsia="Arial" w:hAnsi="Arial"/>
          <w:sz w:val="17"/>
          <w:szCs w:val="17"/>
          <w:color w:val="auto"/>
        </w:rPr>
        <w:t>In October 2023, the Company entered into a Series C Preferred Stock Purchase Agreement pursuant to which the Company issued and sold 19,426,000 shares of Series C convertible preferred stock, at a purchase price of $5.00 per share for an aggregate purchase price of $97.1 million. Between January 2024 and August 2024, the Company issued an additional aggregate amount of 4,016,000 shares of Series C convertible preferred stock to new investors, each at a purchase price of $5.00 per share for an aggregate purchase price of $20.1 million.</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November 2024, the Company entered into a Series C-1 Preferred Stock Purchase Agreement pursuant to which the Company issued and sold 1,459,598 shares of Series C-1 convertible preferred stock, at a purchase price of $5.14 per share for an aggregate purchase price of $7.5 million. The price paid per share for the Series C-1 convertible preferred stock was at premium compared to the fair value of the Series C-1 convertible preferred stock upon issuance, resulting in the Company recording the Series C-1 convertible preferred stock at its fair value of $6.7 million and a $0.8 million contribution within additional paid-in capital.</w:t>
      </w:r>
    </w:p>
    <w:p>
      <w:pPr>
        <w:spacing w:after="0" w:line="17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Each issuance of the Series C and Series C-1 convertible preferred stock resulted in an adjustment of the conversion price of the Series A-1, Series A-2, and Series B convertible preferred stock, due to the down round protection feature included in the Company’s certificate of incorporation with respect to each such series. The Company accounted for the down round adjustment as a deemed dividend which was calculated as the difference between (i) the fair value of the convertible preferred stock without the conversion price adjustment and (ii) the fair value of the convertible preferred stock with the conversion price adjustment, both as determined immediately after the down round feature was triggered.</w:t>
      </w:r>
    </w:p>
    <w:p>
      <w:pPr>
        <w:spacing w:after="0" w:line="17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June 2025, the Company entered into a Series D Preferred Stock Purchase Agreement pursuant to which the Company issued and sold 75,327,534 shares of Series D convertible preferred stock at a purchase price of $1.50 per share, along with 2,325,616 warrants to purchase shares of its common stock, for an aggregate purchase price of $113.4 million. Between June 2025 and December 2025, the Company issued an additional aggregate amount of 66,622,843 shares of Series D convertible preferred stock, along with warrants to purchase 1,730,548 shares of its common stock, at a purchase price of $1.50 per share, for an aggregate purchase price of $100.3 million. The common stock warrants issued under the Series D Preferred Stock Purchase Agreement were determined to be equity classified, and the proceeds, net of issuance costs were allocated between the Series D convertible preferred stock and common stock warrants on a relative fair value basis, resulting in $196.0 million allocated to the Series D convertible preferred stock and $16.4 million allocated to the common stock warrants, which was recorded within additional paid in capital.</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connection with the Series D convertible preferred stock financing, the Company’s certificate of incorporation was amended and restated, which resulted in amendments to the terms of the Company’s existing convertible preferred stock, including: (i) a reduction in the liquidation prices applicable to all outstanding series of the Company’s existing convertible preferred stock; (ii) the addition of a special mandatory conversion feature that results in the conversion of a holder’s shares of convertible preferred stock into common stock at a 10-to-1 ratio upon failure to participate in the Series D convertible preferred stock financing; and (iii) a reduction in the mandatory conversion threshold such that convertible preferred stock will automatically convert into the Company’s common stock upon an initial public offering resulting in at least $100.0 million of proceeds. The amendments resulted in a reduction of the existing preferred stock fair value. The Company did not account for the amendments to the existing preferred stock as an extinguishment, and as such there was no impact to the amount of net income available to common shareholders for the purpose of calculating earnings per share. As a result of the special mandatory conversion feature, 1,681,885 shares of Series A convertible preferred stock were converted into 17,308 shares of common stock due to an investor not participating in the Series D convertible preferred stock financing, and were accounted for as a conversion of the convertible preferred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convertible preferred stock consisted of the following:</w:t>
      </w: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March 31, 2026</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rPr>
              <w:t>Preferred Shares</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ind w:right="99"/>
              <w:spacing w:after="0" w:line="168" w:lineRule="exact"/>
              <w:rPr>
                <w:sz w:val="20"/>
                <w:szCs w:val="20"/>
                <w:color w:val="auto"/>
              </w:rPr>
            </w:pPr>
            <w:r>
              <w:rPr>
                <w:rFonts w:ascii="Arial" w:cs="Arial" w:eastAsia="Arial" w:hAnsi="Arial"/>
                <w:sz w:val="16"/>
                <w:szCs w:val="16"/>
                <w:b w:val="1"/>
                <w:bCs w:val="1"/>
                <w:color w:val="auto"/>
              </w:rPr>
              <w:t>Common Stock</w:t>
            </w:r>
          </w:p>
        </w:tc>
      </w:tr>
      <w:tr>
        <w:trPr>
          <w:trHeight w:val="189"/>
        </w:trPr>
        <w:tc>
          <w:tcPr>
            <w:tcW w:w="3080" w:type="dxa"/>
            <w:vAlign w:val="bottom"/>
          </w:tcPr>
          <w:p>
            <w:pPr>
              <w:spacing w:after="0"/>
              <w:rPr>
                <w:sz w:val="16"/>
                <w:szCs w:val="16"/>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Preferred Shares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Issued and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Liquidation</w:t>
            </w:r>
          </w:p>
        </w:tc>
        <w:tc>
          <w:tcPr>
            <w:tcW w:w="100" w:type="dxa"/>
            <w:vAlign w:val="bottom"/>
          </w:tcPr>
          <w:p>
            <w:pPr>
              <w:spacing w:after="0"/>
              <w:rPr>
                <w:sz w:val="16"/>
                <w:szCs w:val="16"/>
                <w:color w:val="auto"/>
              </w:rPr>
            </w:pPr>
          </w:p>
        </w:tc>
        <w:tc>
          <w:tcPr>
            <w:tcW w:w="1640" w:type="dxa"/>
            <w:vAlign w:val="bottom"/>
          </w:tcPr>
          <w:p>
            <w:pPr>
              <w:jc w:val="center"/>
              <w:ind w:right="99"/>
              <w:spacing w:after="0"/>
              <w:rPr>
                <w:sz w:val="20"/>
                <w:szCs w:val="20"/>
                <w:color w:val="auto"/>
              </w:rPr>
            </w:pPr>
            <w:r>
              <w:rPr>
                <w:rFonts w:ascii="Arial" w:cs="Arial" w:eastAsia="Arial" w:hAnsi="Arial"/>
                <w:sz w:val="16"/>
                <w:szCs w:val="16"/>
                <w:b w:val="1"/>
                <w:bCs w:val="1"/>
                <w:color w:val="auto"/>
              </w:rPr>
              <w:t>Issuable Upon</w:t>
            </w:r>
          </w:p>
        </w:tc>
      </w:tr>
      <w:tr>
        <w:trPr>
          <w:trHeight w:val="203"/>
        </w:trPr>
        <w:tc>
          <w:tcPr>
            <w:tcW w:w="3080" w:type="dxa"/>
            <w:vAlign w:val="bottom"/>
          </w:tcPr>
          <w:p>
            <w:pPr>
              <w:spacing w:after="0"/>
              <w:rPr>
                <w:sz w:val="17"/>
                <w:szCs w:val="17"/>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Authorized</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Outstanding</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Preference</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Conversion</w:t>
            </w:r>
          </w:p>
        </w:tc>
      </w:tr>
      <w:tr>
        <w:trPr>
          <w:trHeight w:val="183"/>
        </w:trPr>
        <w:tc>
          <w:tcPr>
            <w:tcW w:w="3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Series A convertible preferred stock</w:t>
            </w:r>
          </w:p>
        </w:tc>
        <w:tc>
          <w:tcPr>
            <w:tcW w:w="15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28,357,989</w:t>
            </w:r>
          </w:p>
        </w:tc>
        <w:tc>
          <w:tcPr>
            <w:tcW w:w="168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28,357,989</w:t>
            </w:r>
          </w:p>
        </w:tc>
        <w:tc>
          <w:tcPr>
            <w:tcW w:w="6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124,198</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48,441</w:t>
            </w:r>
          </w:p>
        </w:tc>
        <w:tc>
          <w:tcPr>
            <w:tcW w:w="1740" w:type="dxa"/>
            <w:vAlign w:val="bottom"/>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2,918,391</w:t>
            </w: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Series A-1 convertible preferred stock</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7,575,753</w:t>
            </w:r>
          </w:p>
        </w:tc>
        <w:tc>
          <w:tcPr>
            <w:tcW w:w="1680" w:type="dxa"/>
            <w:vAlign w:val="bottom"/>
            <w:gridSpan w:val="2"/>
          </w:tcPr>
          <w:p>
            <w:pPr>
              <w:jc w:val="right"/>
              <w:ind w:right="39"/>
              <w:spacing w:after="0"/>
              <w:rPr>
                <w:sz w:val="20"/>
                <w:szCs w:val="20"/>
                <w:color w:val="auto"/>
              </w:rPr>
            </w:pPr>
            <w:r>
              <w:rPr>
                <w:rFonts w:ascii="Arial" w:cs="Arial" w:eastAsia="Arial" w:hAnsi="Arial"/>
                <w:sz w:val="16"/>
                <w:szCs w:val="16"/>
                <w:color w:val="auto"/>
              </w:rPr>
              <w:t>7,575,753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44,342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17,470</w:t>
            </w: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804,894</w:t>
            </w:r>
          </w:p>
        </w:tc>
      </w:tr>
      <w:tr>
        <w:trPr>
          <w:trHeight w:val="18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Series A-2 convertible preferred stock</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7,815,303</w:t>
            </w:r>
          </w:p>
        </w:tc>
        <w:tc>
          <w:tcPr>
            <w:tcW w:w="16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7,799,055</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47,963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18,885</w:t>
            </w:r>
          </w:p>
        </w:tc>
        <w:tc>
          <w:tcPr>
            <w:tcW w:w="17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836,196</w:t>
            </w: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Series B convertible preferred stock</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26,601,360</w:t>
            </w:r>
          </w:p>
        </w:tc>
        <w:tc>
          <w:tcPr>
            <w:tcW w:w="1680" w:type="dxa"/>
            <w:vAlign w:val="bottom"/>
            <w:gridSpan w:val="2"/>
          </w:tcPr>
          <w:p>
            <w:pPr>
              <w:jc w:val="right"/>
              <w:ind w:right="39"/>
              <w:spacing w:after="0"/>
              <w:rPr>
                <w:sz w:val="20"/>
                <w:szCs w:val="20"/>
                <w:color w:val="auto"/>
              </w:rPr>
            </w:pPr>
            <w:r>
              <w:rPr>
                <w:rFonts w:ascii="Arial" w:cs="Arial" w:eastAsia="Arial" w:hAnsi="Arial"/>
                <w:sz w:val="16"/>
                <w:szCs w:val="16"/>
                <w:color w:val="auto"/>
              </w:rPr>
              <w:t>26,601,360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167,765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66,100</w:t>
            </w: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2,865,384</w:t>
            </w:r>
          </w:p>
        </w:tc>
      </w:tr>
      <w:tr>
        <w:trPr>
          <w:trHeight w:val="18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Series C convertible preferred stock</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23,442,000</w:t>
            </w:r>
          </w:p>
        </w:tc>
        <w:tc>
          <w:tcPr>
            <w:tcW w:w="16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23,442,000</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116,578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46,114</w:t>
            </w:r>
          </w:p>
        </w:tc>
        <w:tc>
          <w:tcPr>
            <w:tcW w:w="17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2,412,468</w:t>
            </w: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Series C-1 convertible preferred stock</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1,459,598</w:t>
            </w:r>
          </w:p>
        </w:tc>
        <w:tc>
          <w:tcPr>
            <w:tcW w:w="1680" w:type="dxa"/>
            <w:vAlign w:val="bottom"/>
            <w:gridSpan w:val="2"/>
          </w:tcPr>
          <w:p>
            <w:pPr>
              <w:jc w:val="right"/>
              <w:ind w:right="39"/>
              <w:spacing w:after="0"/>
              <w:rPr>
                <w:sz w:val="20"/>
                <w:szCs w:val="20"/>
                <w:color w:val="auto"/>
              </w:rPr>
            </w:pPr>
            <w:r>
              <w:rPr>
                <w:rFonts w:ascii="Arial" w:cs="Arial" w:eastAsia="Arial" w:hAnsi="Arial"/>
                <w:sz w:val="16"/>
                <w:szCs w:val="16"/>
                <w:color w:val="auto"/>
              </w:rPr>
              <w:t>1,459,598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6,681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2,951</w:t>
            </w: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150,211</w:t>
            </w:r>
          </w:p>
        </w:tc>
      </w:tr>
      <w:tr>
        <w:trPr>
          <w:trHeight w:val="189"/>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Series D convertible preferred stock</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142,016,823</w:t>
            </w:r>
          </w:p>
        </w:tc>
        <w:tc>
          <w:tcPr>
            <w:tcW w:w="100" w:type="dxa"/>
            <w:vAlign w:val="bottom"/>
            <w:tcBorders>
              <w:bottom w:val="single" w:sz="8" w:color="CFF0FC"/>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141,950,377</w:t>
            </w:r>
          </w:p>
        </w:tc>
        <w:tc>
          <w:tcPr>
            <w:tcW w:w="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196,031</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213,631</w:t>
            </w:r>
          </w:p>
        </w:tc>
        <w:tc>
          <w:tcPr>
            <w:tcW w:w="100" w:type="dxa"/>
            <w:vAlign w:val="bottom"/>
            <w:tcBorders>
              <w:bottom w:val="single" w:sz="8" w:color="CFF0FC"/>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14,608,456</w:t>
            </w:r>
          </w:p>
        </w:tc>
      </w:tr>
      <w:tr>
        <w:trPr>
          <w:trHeight w:val="183"/>
        </w:trPr>
        <w:tc>
          <w:tcPr>
            <w:tcW w:w="3080" w:type="dxa"/>
            <w:vAlign w:val="bottom"/>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237,268,826</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237,186,132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703,558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413,592</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24,596,000</w:t>
            </w:r>
          </w:p>
        </w:tc>
      </w:tr>
      <w:tr>
        <w:trPr>
          <w:trHeight w:val="20"/>
        </w:trPr>
        <w:tc>
          <w:tcPr>
            <w:tcW w:w="3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13"/>
        </w:trPr>
        <w:tc>
          <w:tcPr>
            <w:tcW w:w="30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rPr>
              <w:t>Preferred 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right="99"/>
              <w:spacing w:after="0" w:line="168" w:lineRule="exact"/>
              <w:rPr>
                <w:sz w:val="20"/>
                <w:szCs w:val="20"/>
                <w:color w:val="auto"/>
              </w:rPr>
            </w:pPr>
            <w:r>
              <w:rPr>
                <w:rFonts w:ascii="Arial" w:cs="Arial" w:eastAsia="Arial" w:hAnsi="Arial"/>
                <w:sz w:val="16"/>
                <w:szCs w:val="16"/>
                <w:b w:val="1"/>
                <w:bCs w:val="1"/>
                <w:color w:val="auto"/>
              </w:rPr>
              <w:t>Common Stock</w:t>
            </w:r>
          </w:p>
        </w:tc>
      </w:tr>
      <w:tr>
        <w:trPr>
          <w:trHeight w:val="189"/>
        </w:trPr>
        <w:tc>
          <w:tcPr>
            <w:tcW w:w="3080" w:type="dxa"/>
            <w:vAlign w:val="bottom"/>
          </w:tcPr>
          <w:p>
            <w:pPr>
              <w:spacing w:after="0"/>
              <w:rPr>
                <w:sz w:val="16"/>
                <w:szCs w:val="16"/>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Preferred Shares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Issued and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Liquidation</w:t>
            </w:r>
          </w:p>
        </w:tc>
        <w:tc>
          <w:tcPr>
            <w:tcW w:w="100" w:type="dxa"/>
            <w:vAlign w:val="bottom"/>
          </w:tcPr>
          <w:p>
            <w:pPr>
              <w:spacing w:after="0"/>
              <w:rPr>
                <w:sz w:val="16"/>
                <w:szCs w:val="16"/>
                <w:color w:val="auto"/>
              </w:rPr>
            </w:pPr>
          </w:p>
        </w:tc>
        <w:tc>
          <w:tcPr>
            <w:tcW w:w="1640" w:type="dxa"/>
            <w:vAlign w:val="bottom"/>
          </w:tcPr>
          <w:p>
            <w:pPr>
              <w:jc w:val="center"/>
              <w:ind w:right="99"/>
              <w:spacing w:after="0"/>
              <w:rPr>
                <w:sz w:val="20"/>
                <w:szCs w:val="20"/>
                <w:color w:val="auto"/>
              </w:rPr>
            </w:pPr>
            <w:r>
              <w:rPr>
                <w:rFonts w:ascii="Arial" w:cs="Arial" w:eastAsia="Arial" w:hAnsi="Arial"/>
                <w:sz w:val="16"/>
                <w:szCs w:val="16"/>
                <w:b w:val="1"/>
                <w:bCs w:val="1"/>
                <w:color w:val="auto"/>
              </w:rPr>
              <w:t>Issuable Upon</w:t>
            </w:r>
          </w:p>
        </w:tc>
      </w:tr>
      <w:tr>
        <w:trPr>
          <w:trHeight w:val="203"/>
        </w:trPr>
        <w:tc>
          <w:tcPr>
            <w:tcW w:w="3080" w:type="dxa"/>
            <w:vAlign w:val="bottom"/>
          </w:tcPr>
          <w:p>
            <w:pPr>
              <w:spacing w:after="0"/>
              <w:rPr>
                <w:sz w:val="17"/>
                <w:szCs w:val="17"/>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Authorized</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Outstanding</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Preference</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Conversion</w:t>
            </w:r>
          </w:p>
        </w:tc>
      </w:tr>
      <w:tr>
        <w:trPr>
          <w:trHeight w:val="183"/>
        </w:trPr>
        <w:tc>
          <w:tcPr>
            <w:tcW w:w="3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Series A convertible preferred stock</w:t>
            </w:r>
          </w:p>
        </w:tc>
        <w:tc>
          <w:tcPr>
            <w:tcW w:w="15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28,357,989</w:t>
            </w:r>
          </w:p>
        </w:tc>
        <w:tc>
          <w:tcPr>
            <w:tcW w:w="168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28,357,989</w:t>
            </w:r>
          </w:p>
        </w:tc>
        <w:tc>
          <w:tcPr>
            <w:tcW w:w="6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124,198</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48,441</w:t>
            </w:r>
          </w:p>
        </w:tc>
        <w:tc>
          <w:tcPr>
            <w:tcW w:w="1740" w:type="dxa"/>
            <w:vAlign w:val="bottom"/>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2,918,391</w:t>
            </w: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Series A-1 convertible preferred stock</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7,575,753</w:t>
            </w:r>
          </w:p>
        </w:tc>
        <w:tc>
          <w:tcPr>
            <w:tcW w:w="1680" w:type="dxa"/>
            <w:vAlign w:val="bottom"/>
            <w:gridSpan w:val="2"/>
          </w:tcPr>
          <w:p>
            <w:pPr>
              <w:jc w:val="right"/>
              <w:ind w:right="39"/>
              <w:spacing w:after="0"/>
              <w:rPr>
                <w:sz w:val="20"/>
                <w:szCs w:val="20"/>
                <w:color w:val="auto"/>
              </w:rPr>
            </w:pPr>
            <w:r>
              <w:rPr>
                <w:rFonts w:ascii="Arial" w:cs="Arial" w:eastAsia="Arial" w:hAnsi="Arial"/>
                <w:sz w:val="16"/>
                <w:szCs w:val="16"/>
                <w:color w:val="auto"/>
              </w:rPr>
              <w:t>7,575,753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44,342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17,470</w:t>
            </w: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804,894</w:t>
            </w:r>
          </w:p>
        </w:tc>
      </w:tr>
      <w:tr>
        <w:trPr>
          <w:trHeight w:val="18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Series A-2 convertible preferred stock</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7,815,303</w:t>
            </w:r>
          </w:p>
        </w:tc>
        <w:tc>
          <w:tcPr>
            <w:tcW w:w="16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7,799,055</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47,963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18,885</w:t>
            </w:r>
          </w:p>
        </w:tc>
        <w:tc>
          <w:tcPr>
            <w:tcW w:w="17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836,196</w:t>
            </w: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Series B convertible preferred stock</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26,601,360</w:t>
            </w:r>
          </w:p>
        </w:tc>
        <w:tc>
          <w:tcPr>
            <w:tcW w:w="1680" w:type="dxa"/>
            <w:vAlign w:val="bottom"/>
            <w:gridSpan w:val="2"/>
          </w:tcPr>
          <w:p>
            <w:pPr>
              <w:jc w:val="right"/>
              <w:ind w:right="39"/>
              <w:spacing w:after="0"/>
              <w:rPr>
                <w:sz w:val="20"/>
                <w:szCs w:val="20"/>
                <w:color w:val="auto"/>
              </w:rPr>
            </w:pPr>
            <w:r>
              <w:rPr>
                <w:rFonts w:ascii="Arial" w:cs="Arial" w:eastAsia="Arial" w:hAnsi="Arial"/>
                <w:sz w:val="16"/>
                <w:szCs w:val="16"/>
                <w:color w:val="auto"/>
              </w:rPr>
              <w:t>26,601,360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167,765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66,100</w:t>
            </w: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2,865,384</w:t>
            </w:r>
          </w:p>
        </w:tc>
      </w:tr>
      <w:tr>
        <w:trPr>
          <w:trHeight w:val="18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Series C convertible preferred stock</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23,442,000</w:t>
            </w:r>
          </w:p>
        </w:tc>
        <w:tc>
          <w:tcPr>
            <w:tcW w:w="16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23,442,000</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116,578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46,114</w:t>
            </w:r>
          </w:p>
        </w:tc>
        <w:tc>
          <w:tcPr>
            <w:tcW w:w="17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2,412,468</w:t>
            </w: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Series C-1 convertible preferred stock</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1,459,598</w:t>
            </w:r>
          </w:p>
        </w:tc>
        <w:tc>
          <w:tcPr>
            <w:tcW w:w="1680" w:type="dxa"/>
            <w:vAlign w:val="bottom"/>
            <w:gridSpan w:val="2"/>
          </w:tcPr>
          <w:p>
            <w:pPr>
              <w:jc w:val="right"/>
              <w:ind w:right="39"/>
              <w:spacing w:after="0"/>
              <w:rPr>
                <w:sz w:val="20"/>
                <w:szCs w:val="20"/>
                <w:color w:val="auto"/>
              </w:rPr>
            </w:pPr>
            <w:r>
              <w:rPr>
                <w:rFonts w:ascii="Arial" w:cs="Arial" w:eastAsia="Arial" w:hAnsi="Arial"/>
                <w:sz w:val="16"/>
                <w:szCs w:val="16"/>
                <w:color w:val="auto"/>
              </w:rPr>
              <w:t>1,459,598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6,681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2,951</w:t>
            </w:r>
          </w:p>
        </w:tc>
        <w:tc>
          <w:tcPr>
            <w:tcW w:w="1740" w:type="dxa"/>
            <w:vAlign w:val="bottom"/>
            <w:gridSpan w:val="2"/>
          </w:tcPr>
          <w:p>
            <w:pPr>
              <w:jc w:val="right"/>
              <w:ind w:right="59"/>
              <w:spacing w:after="0"/>
              <w:rPr>
                <w:sz w:val="20"/>
                <w:szCs w:val="20"/>
                <w:color w:val="auto"/>
              </w:rPr>
            </w:pPr>
            <w:r>
              <w:rPr>
                <w:rFonts w:ascii="Arial" w:cs="Arial" w:eastAsia="Arial" w:hAnsi="Arial"/>
                <w:sz w:val="16"/>
                <w:szCs w:val="16"/>
                <w:color w:val="auto"/>
              </w:rPr>
              <w:t>150,211</w:t>
            </w:r>
          </w:p>
        </w:tc>
      </w:tr>
      <w:tr>
        <w:trPr>
          <w:trHeight w:val="189"/>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Series D convertible preferred stock</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142,016,823</w:t>
            </w:r>
          </w:p>
        </w:tc>
        <w:tc>
          <w:tcPr>
            <w:tcW w:w="100" w:type="dxa"/>
            <w:vAlign w:val="bottom"/>
            <w:tcBorders>
              <w:bottom w:val="single" w:sz="8" w:color="CFF0FC"/>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141,950,377</w:t>
            </w:r>
          </w:p>
        </w:tc>
        <w:tc>
          <w:tcPr>
            <w:tcW w:w="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196,031</w:t>
            </w:r>
          </w:p>
        </w:tc>
        <w:tc>
          <w:tcPr>
            <w:tcW w:w="10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213,631</w:t>
            </w:r>
          </w:p>
        </w:tc>
        <w:tc>
          <w:tcPr>
            <w:tcW w:w="174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14,608,456</w:t>
            </w:r>
          </w:p>
        </w:tc>
      </w:tr>
      <w:tr>
        <w:trPr>
          <w:trHeight w:val="183"/>
        </w:trPr>
        <w:tc>
          <w:tcPr>
            <w:tcW w:w="3080" w:type="dxa"/>
            <w:vAlign w:val="bottom"/>
          </w:tcPr>
          <w:p>
            <w:pPr>
              <w:spacing w:after="0"/>
              <w:rPr>
                <w:sz w:val="15"/>
                <w:szCs w:val="15"/>
                <w:color w:val="auto"/>
              </w:rPr>
            </w:pP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237,268,826</w:t>
            </w:r>
          </w:p>
        </w:tc>
        <w:tc>
          <w:tcPr>
            <w:tcW w:w="168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237,186,132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703,558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413,592</w:t>
            </w:r>
          </w:p>
        </w:tc>
        <w:tc>
          <w:tcPr>
            <w:tcW w:w="174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24,596,000</w:t>
            </w:r>
          </w:p>
        </w:tc>
      </w:tr>
      <w:tr>
        <w:trPr>
          <w:trHeight w:val="20"/>
        </w:trPr>
        <w:tc>
          <w:tcPr>
            <w:tcW w:w="30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-1799590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-1799590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-1799590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-1799590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-153670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-153670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As of March 31, 2026, the holders of the Series A convertible preferred stock, Series A-1 convertible preferred stock, Series A-2 convertible preferred stock, Series B convertible preferred stock, Series C convertible preferred stock, Series C-1 convertible preferred stock and Series D convertible preferred stock have the following rights and preferences:</w:t>
      </w:r>
    </w:p>
    <w:p>
      <w:pPr>
        <w:spacing w:after="0" w:line="16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 Holders of the Series A convertible preferred stock, Series A-1 convertible preferred stock, Series A-2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Series B convertible preferred stock, Series C convertible preferred stock, Series C-1 convertible preferred stock and Series D convertible preferred stock are entitled to the number of votes equal to the number of shares of common stock into which such shares of convertible preferred stock held by such holder could be converted as of the relevant record date at all meetings of stockholders. The holders of convertible preferred stock generally vote together as a single class with holders of common stock except that, the holders of Series A convertible preferred stock, Series A-1 convertible preferred stock, Series A-2 convertible preferred stock voting together as a single class on an as converted basis are entitled to elect two directors, and the holders of Series D convertible preferred stock voting together as a single class on an as converted basis are entitled to elect one director. The remaining members of the Company’s Board of Directors are elected by the holders of convertible preferred stock and common stock, voting together as a single class on an as-converted basis.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2" w:name="page23"/>
    <w:bookmarkEnd w:id="22"/>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 Holders of outstanding shares of Series A convertible preferred stock, Series A-1 convertible preferred stock, Series A-2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preferred stock, Series B convertible preferred stock, Series C convertible preferred stock, Series C-1 convertible preferred stock and Series D convertible preferred stock are entitled to participate in any dividends payable to common stockholders on an as converted basis and have priority over the payment of dividends to holders of common stock. The holders are not contractually required to participate in losses of the Company.</w:t>
      </w:r>
    </w:p>
    <w:p>
      <w:pPr>
        <w:spacing w:after="0" w:line="17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the case of a dividend on common stock or any class of stock that is convertible into common stock, the dividend per share of convertible preferred stock would equal the product of (A) the dividend payable on each share of such class or series as if all shares of such class or series had been converted into common stock and (B) the number of shares of common stock issuable upon conversion of such share of convertible preferred stock. In the case of a dividend on any class or series that is not convertible into common stock, the dividend per share of convertible preferred stock would be determined by (A) dividing the amount of dividend payable on each share of such class or series of capital stock by the original issue price of such class or series and (B) multiplying such fraction by the original issue price of the applicable class of convertible preferred stock.</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Liquidation Amount </w:t>
      </w:r>
      <w:r>
        <w:rPr>
          <w:rFonts w:ascii="Arial" w:cs="Arial" w:eastAsia="Arial" w:hAnsi="Arial"/>
          <w:sz w:val="18"/>
          <w:szCs w:val="18"/>
          <w:color w:val="auto"/>
        </w:rPr>
        <w:t>– The Series D convertible preferred stock ranks, with respect to rights in the event of voluntary or involuntary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winding up, dissolution, and deemed liquidation events, senior and in priority of payment to (i) the Series A convertible preferred stock, Series A-1 convertible preferred stock, Series A-2 convertible preferred stock, Series B convertible preferred stock, Series C convertible preferred stock and Series C-1 convertible preferred stock and (ii) the common stock. After payment in full of the amounts owed to holders of Series D convertible preferred stock, the Series C convertible preferred stock and Series C-1 convertible preferred stock rank, with respect to rights in the event of voluntary or involuntary liquidation, winding up, dissolution, and deemed liquidation events, senior and in priority of payment to (i) the Series B convertible preferred stock, (ii) the Series A convertible preferred stock, Series A-1 convertible preferred stock, Series A-2 convertible preferred stock and (iii) the common stock. The Series C convertible preferred stock and Series C-1 convertible preferred stock rank on parity with each other. After payment in full of the amounts owed to holders of the Series C convertible preferred stock and Series C-1 convertible preferred stock, the Series B convertible preferred stock, with respect to distribution rights and rights on liquidation, winding-up and dissolution, rank senior and in priority of payment to (i) the Series A convertible preferred stock, Series A-1 convertible preferred stock, Series A-2 convertible preferred stock and (ii) the common stock. After payment in full of the amounts owed to holders of the Series B convertible preferred stock, Series C convertible preferred stock and Series C-1 convertible preferred stock, the Series A convertible preferred stock, Series A-1 convertible preferred stock, Series A-2 convertible preferred stock, with respect to distribution rights and rights on liquidation, winding-up and dissolution, rank (i) senior and in priority of payment to the common stock and (ii) on parity with each other. After the payment of the full liquidation preference of the convertible preferred stock, the remaining assets of the Company legally available for distribution, if any, will be distributed ratably to the holders of common stock.</w:t>
      </w:r>
    </w:p>
    <w:p>
      <w:pPr>
        <w:spacing w:after="0" w:line="18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event of any voluntary or involuntary liquidation, dissolution or winding up of the corporation, or upon the occurrence of a deemed liquidation event, the holders of shares of (i) the Series D convertible preferred stock are entitled to payments in an amount equal the greater of (a) $1.50497 per share, plus dividends declared but unpaid and (b) the amount payable with respect to such share as if it was converted to common stock immediately prior to settlement, (ii) the Series C and Series C-1 convertible preferred stock are entitled to payments in an amount equal the greater of (a) $1.96714 per share and $2.02159 per share, respectively, plus dividends declared but unpaid and (b) the amount payable with respect to such share as if it was converted to common stock immediately prior to settlement, (iii) the Series B convertible preferred stock are entitled to payments in an amount equal the greater of (a) $2.48483 per share, plus dividends declared but unpaid and (b) the amount payable with respect to such share as if it was converted to common stock immediately prior to settlement, and</w:t>
      </w:r>
    </w:p>
    <w:p>
      <w:pPr>
        <w:spacing w:after="0" w:line="3" w:lineRule="exact"/>
        <w:rPr>
          <w:sz w:val="20"/>
          <w:szCs w:val="20"/>
          <w:color w:val="auto"/>
        </w:rPr>
      </w:pPr>
    </w:p>
    <w:p>
      <w:pPr>
        <w:ind w:right="460" w:firstLine="8"/>
        <w:spacing w:after="0" w:line="242"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Series A, Series A-1 and Series A-2 convertible preferred stock are entitled to payments in an amount equal to the greater of (a) $1.70821 per share, $2.30608 per share and $2.42139 per share, respectively, plus dividends declared but unpaid and (b) the amount payable with respect to such share as if it was converted to common stock immediately prior to settlement.</w:t>
      </w:r>
    </w:p>
    <w:p>
      <w:pPr>
        <w:spacing w:after="0" w:line="179" w:lineRule="exact"/>
        <w:rPr>
          <w:sz w:val="20"/>
          <w:szCs w:val="20"/>
          <w:color w:val="auto"/>
        </w:rPr>
      </w:pPr>
    </w:p>
    <w:p>
      <w:pPr>
        <w:ind w:right="120"/>
        <w:spacing w:after="0"/>
        <w:rPr>
          <w:sz w:val="20"/>
          <w:szCs w:val="20"/>
          <w:color w:val="auto"/>
        </w:rPr>
      </w:pPr>
      <w:r>
        <w:rPr>
          <w:rFonts w:ascii="Arial" w:cs="Arial" w:eastAsia="Arial" w:hAnsi="Arial"/>
          <w:sz w:val="18"/>
          <w:szCs w:val="18"/>
          <w:b w:val="1"/>
          <w:bCs w:val="1"/>
          <w:i w:val="1"/>
          <w:iCs w:val="1"/>
          <w:color w:val="auto"/>
        </w:rPr>
        <w:t xml:space="preserve">Conversion Option </w:t>
      </w:r>
      <w:r>
        <w:rPr>
          <w:rFonts w:ascii="Arial" w:cs="Arial" w:eastAsia="Arial" w:hAnsi="Arial"/>
          <w:sz w:val="18"/>
          <w:szCs w:val="18"/>
          <w:color w:val="auto"/>
        </w:rPr>
        <w:t>– Each share of the convertible preferred stock is convertible into shares of the Company’s common stock on a one-to-one basis, subject to appropriate adjustment in the event of any stock dividend, stock split or similar recapitalization, at the option of the stockholder and subject to adjustments in accordance with anti-dilution provisions and down round features. In addition, such shares will be converted automatically into shares of the Company’s common stock at then applicable conversion ratio upon the earlier of (i) a firm-commitment underwritten public offering pursuant to an effective registration statement under the Securities Act, on the New York Stock Exchange or Nasdaq Stock Market resulting in at least $100.0 million of gross proceeds, net of underwriting discounts and commissions, (ii) the completion by the Company of a business combination, merger, consolidation or share exchange with a special purpose acquisition company (“SPAC”) or its subsidiary in which the common stock of the surviving or parent entity is listed on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3" w:name="page24"/>
    <w:bookmarkEnd w:id="23"/>
    <w:p>
      <w:pPr>
        <w:ind w:right="60"/>
        <w:spacing w:after="0" w:line="242" w:lineRule="auto"/>
        <w:rPr>
          <w:sz w:val="20"/>
          <w:szCs w:val="20"/>
          <w:color w:val="auto"/>
        </w:rPr>
      </w:pPr>
      <w:r>
        <w:rPr>
          <w:rFonts w:ascii="Arial" w:cs="Arial" w:eastAsia="Arial" w:hAnsi="Arial"/>
          <w:sz w:val="18"/>
          <w:szCs w:val="18"/>
          <w:color w:val="auto"/>
        </w:rPr>
        <w:t>Stock Exchange or Nasdaq Stock Market as of the consummation of such transaction, after taking into account any redemptions from the SPAC’s trust account, the surviving entity or parent entity receives at least $100.0 million of gross proceeds, net of the underwriting discount and commissions, from the sale of its equity securities, or (iii) the occurrence of an event specified by vote or written consent of the majority of the holders of the then outstanding shares of a specific class of convertible preferred stock, only with respect to that class of convertible preferred stock. All outstanding convertible preferred stock was converted into common stock immediately prior to the closing of the Company’s IPO.</w:t>
      </w:r>
    </w:p>
    <w:p>
      <w:pPr>
        <w:spacing w:after="0" w:line="179"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entering into a loan and security agreement (“LSA”), the Company issued the LSA Warrant. At the LSA Warrant issuance date, the right of the holder to purchase 16,248 shares immediately vested and was exercisable. The right to purchase the remaining 48,744 shares was forfeited upon termination of the LSA by the Company in April 2023. As of March 31, 2026, the right to purchase the 16,248 shares of Series A-2 convertible preferred stock was outstanding. The LSA Warrant requires liability classification, as the Series A-2 convertible preferred stock underlying the LSA Warrant is redeemable outside of the control of the Company. The Company initially recorded the LSA Warrant at fair value and records changes in fair value at each reporting period (See Note 5). The LSA Warrant converted into 1,742 warrants to purchase common stock immediately prior to the closing of the IPO.</w:t>
      </w:r>
    </w:p>
    <w:p>
      <w:pPr>
        <w:spacing w:after="0" w:line="185" w:lineRule="exact"/>
        <w:rPr>
          <w:sz w:val="20"/>
          <w:szCs w:val="20"/>
          <w:color w:val="auto"/>
        </w:rPr>
      </w:pPr>
    </w:p>
    <w:p>
      <w:pPr>
        <w:spacing w:after="0" w:line="211" w:lineRule="exact"/>
        <w:rPr>
          <w:sz w:val="20"/>
          <w:szCs w:val="20"/>
          <w:color w:val="auto"/>
        </w:rPr>
      </w:pPr>
      <w:r>
        <w:rPr>
          <w:rFonts w:ascii="Arial" w:cs="Arial" w:eastAsia="Arial" w:hAnsi="Arial"/>
          <w:sz w:val="17"/>
          <w:szCs w:val="17"/>
          <w:color w:val="auto"/>
        </w:rPr>
        <w:t>In connection with entering into the Series D Preferred Stock Purchase Agreement in 2025, the Company issued an aggregate amount of warrants to purchase 4,056,164 shares of the Company’s common stock, each with an exercise price of $0.10 per share (the “Common Warrants”). The Common Warrants may be exercised at any time by the holder and have a seven-year contractual term from their respective dates of issuance. Upon an initial public offering or deemed liquidation event (each, a “Corporate Transaction”), the outstanding Common Warrants are subject to automatic net exercise and will become shares of the Company’s common stock, effective immediately prior to the consummation of the Corporate Transaction. The Company determined that the Common Warrants are equity-classified, and recorded the amounts allocated to the Common Warrants within additional paid</w:t>
      </w:r>
      <w:r>
        <w:rPr>
          <w:rFonts w:ascii="MS PGothic" w:cs="MS PGothic" w:eastAsia="MS PGothic" w:hAnsi="MS PGothic"/>
          <w:sz w:val="17"/>
          <w:szCs w:val="17"/>
          <w:color w:val="auto"/>
        </w:rPr>
        <w:t>‑</w:t>
      </w:r>
      <w:r>
        <w:rPr>
          <w:rFonts w:ascii="Arial" w:cs="Arial" w:eastAsia="Arial" w:hAnsi="Arial"/>
          <w:sz w:val="17"/>
          <w:szCs w:val="17"/>
          <w:color w:val="auto"/>
        </w:rPr>
        <w:t>in capital on the condensed consolidated balance sheets (See Note 11).</w:t>
      </w:r>
    </w:p>
    <w:p>
      <w:pPr>
        <w:spacing w:after="0" w:line="15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During the three months ended March 31, 2026, 2,051 Common Warrants were exercised, resulting in the issuance of 2,051 shares of common stock and aggregate proceeds of a de minimis amount. As of March 31, 2026, 3,305,739 Common Warrants remain issued and outstanding. The Company’s outstanding Common Warrants were automatically exercised on a net exercise basis into 3,287,352 shares of common stock immediately prior to the closing of the IPO.</w:t>
      </w:r>
    </w:p>
    <w:p>
      <w:pPr>
        <w:spacing w:after="0" w:line="174"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August 2021, the Company’s Board of Directors adopted the 2021 Equity Incentive Plan (the “2021 Plan”) which provides for the granting of stock appreciation rights, incentive stock options, restricted stock awards, other stock-based awards to eligible employees, officers, directors, consultants, and advisors. The stock options issued under the 2021 Plan expire not more than ten years from the grant date. The 2021 Plan was subsequently amended on various dates through September 2025 to increase the number of shares available for the issuance of awards to a total of 6,333,919. As of March 31, 2026, there were 819,332 shares of voting common stock available for future grant under the 2021 Plan.</w:t>
      </w:r>
    </w:p>
    <w:p>
      <w:pPr>
        <w:spacing w:after="0" w:line="179"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The stock options generally vest over four years, with 25% of the award vesting at a one-year cliff with the remaining portion vesting in equal installments over the remaining period. The stock options granted contain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conditions and certain stock options granted contain performance</w:t>
      </w:r>
      <w:r>
        <w:rPr>
          <w:rFonts w:ascii="MS PGothic" w:cs="MS PGothic" w:eastAsia="MS PGothic" w:hAnsi="MS PGothic"/>
          <w:sz w:val="18"/>
          <w:szCs w:val="18"/>
          <w:color w:val="auto"/>
        </w:rPr>
        <w:t>‑</w:t>
      </w:r>
      <w:r>
        <w:rPr>
          <w:rFonts w:ascii="Arial" w:cs="Arial" w:eastAsia="Arial" w:hAnsi="Arial"/>
          <w:sz w:val="18"/>
          <w:szCs w:val="18"/>
          <w:color w:val="auto"/>
        </w:rPr>
        <w:t>based vesting conditions. The service</w:t>
      </w:r>
      <w:r>
        <w:rPr>
          <w:rFonts w:ascii="MS PGothic" w:cs="MS PGothic" w:eastAsia="MS PGothic" w:hAnsi="MS PGothic"/>
          <w:sz w:val="18"/>
          <w:szCs w:val="18"/>
          <w:color w:val="auto"/>
        </w:rPr>
        <w:t>‑</w:t>
      </w:r>
      <w:r>
        <w:rPr>
          <w:rFonts w:ascii="Arial" w:cs="Arial" w:eastAsia="Arial" w:hAnsi="Arial"/>
          <w:sz w:val="18"/>
          <w:szCs w:val="18"/>
          <w:color w:val="auto"/>
        </w:rPr>
        <w:t>based component requires continued service with the Company over the requisite service period, while the performance</w:t>
      </w:r>
      <w:r>
        <w:rPr>
          <w:rFonts w:ascii="MS PGothic" w:cs="MS PGothic" w:eastAsia="MS PGothic" w:hAnsi="MS PGothic"/>
          <w:sz w:val="18"/>
          <w:szCs w:val="18"/>
          <w:color w:val="auto"/>
        </w:rPr>
        <w:t>‑</w:t>
      </w:r>
      <w:r>
        <w:rPr>
          <w:rFonts w:ascii="Arial" w:cs="Arial" w:eastAsia="Arial" w:hAnsi="Arial"/>
          <w:sz w:val="18"/>
          <w:szCs w:val="18"/>
          <w:color w:val="auto"/>
        </w:rPr>
        <w:t>based condition is tied to the achievement of a research and development milestone.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summarizes the Company’s stock option activity for the three months ended March 31, 2026: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7"/>
                <w:szCs w:val="17"/>
                <w:color w:val="auto"/>
              </w:rPr>
            </w:pPr>
          </w:p>
        </w:tc>
        <w:tc>
          <w:tcPr>
            <w:tcW w:w="14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4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Remaining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5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Exercise</w:t>
            </w:r>
          </w:p>
        </w:tc>
        <w:tc>
          <w:tcPr>
            <w:tcW w:w="120" w:type="dxa"/>
            <w:vAlign w:val="bottom"/>
          </w:tcPr>
          <w:p>
            <w:pPr>
              <w:spacing w:after="0"/>
              <w:rPr>
                <w:sz w:val="17"/>
                <w:szCs w:val="17"/>
                <w:color w:val="auto"/>
              </w:rPr>
            </w:pPr>
          </w:p>
        </w:tc>
        <w:tc>
          <w:tcPr>
            <w:tcW w:w="14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1"/>
        </w:trPr>
        <w:tc>
          <w:tcPr>
            <w:tcW w:w="5080" w:type="dxa"/>
            <w:vAlign w:val="bottom"/>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Stock Options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Price</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Term (in years)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Value</w:t>
            </w: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as of January 1, 2026</w:t>
            </w:r>
          </w:p>
        </w:tc>
        <w:tc>
          <w:tcPr>
            <w:tcW w:w="14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4,631,713</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4.94</w:t>
            </w:r>
          </w:p>
        </w:tc>
        <w:tc>
          <w:tcPr>
            <w:tcW w:w="160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8.64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4,610</w:t>
            </w:r>
          </w:p>
        </w:tc>
      </w:tr>
      <w:tr>
        <w:trPr>
          <w:trHeight w:val="203"/>
        </w:trPr>
        <w:tc>
          <w:tcPr>
            <w:tcW w:w="508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162,162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5.15</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0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Forfeited</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(23,858)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5080" w:type="dxa"/>
            <w:vAlign w:val="bottom"/>
          </w:tcPr>
          <w:p>
            <w:pPr>
              <w:ind w:left="140"/>
              <w:spacing w:after="0" w:line="202" w:lineRule="exact"/>
              <w:rPr>
                <w:sz w:val="20"/>
                <w:szCs w:val="20"/>
                <w:color w:val="auto"/>
              </w:rPr>
            </w:pPr>
            <w:r>
              <w:rPr>
                <w:rFonts w:ascii="Arial" w:cs="Arial" w:eastAsia="Arial" w:hAnsi="Arial"/>
                <w:sz w:val="18"/>
                <w:szCs w:val="18"/>
                <w:color w:val="auto"/>
              </w:rPr>
              <w:t>Expired</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(4,500)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8.19</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(159,842)</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4.08</w:t>
            </w:r>
          </w:p>
        </w:tc>
        <w:tc>
          <w:tcPr>
            <w:tcW w:w="1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Outstanding as of March 31, 2026</w:t>
            </w:r>
          </w:p>
        </w:tc>
        <w:tc>
          <w:tcPr>
            <w:tcW w:w="14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4,605,675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4.98</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4,410</w:t>
            </w:r>
          </w:p>
        </w:tc>
      </w:tr>
      <w:tr>
        <w:trPr>
          <w:trHeight w:val="196"/>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Exercisable as of March 31, 2026</w:t>
            </w:r>
          </w:p>
        </w:tc>
        <w:tc>
          <w:tcPr>
            <w:tcW w:w="14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1,723,691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6.28</w:t>
            </w:r>
          </w:p>
        </w:tc>
        <w:tc>
          <w:tcPr>
            <w:tcW w:w="1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7.19</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-282575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-282575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-282575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December 2025, 166,550 stock options to purchase shares of the Company’s common stock were early exercised pursuant to approval by the Company’s Board of Directors. The unvested common stock purchased pursuant to the early exercise of stock options are not deemed, for accounting purposes, to be outstanding until those shares vest according to their respective terms.</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following table presents, on a weighted-average basis, the assumptions used in the Black Scholes option-pricing model to determine the grant date fair value of the stock options granted during the year ended: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March 31,</w:t>
            </w:r>
          </w:p>
        </w:tc>
      </w:tr>
      <w:tr>
        <w:trPr>
          <w:trHeight w:val="196"/>
        </w:trPr>
        <w:tc>
          <w:tcPr>
            <w:tcW w:w="53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1170"/>
              <w:spacing w:after="0" w:line="196" w:lineRule="exact"/>
              <w:rPr>
                <w:sz w:val="20"/>
                <w:szCs w:val="20"/>
                <w:color w:val="auto"/>
              </w:rPr>
            </w:pPr>
            <w:r>
              <w:rPr>
                <w:rFonts w:ascii="Arial" w:cs="Arial" w:eastAsia="Arial" w:hAnsi="Arial"/>
                <w:sz w:val="18"/>
                <w:szCs w:val="18"/>
                <w:b w:val="1"/>
                <w:bCs w:val="1"/>
                <w:color w:val="auto"/>
              </w:rPr>
              <w:t>2026</w:t>
            </w:r>
          </w:p>
        </w:tc>
      </w:tr>
      <w:tr>
        <w:trPr>
          <w:trHeight w:val="196"/>
        </w:trPr>
        <w:tc>
          <w:tcPr>
            <w:tcW w:w="5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Fair value of common stock</w:t>
            </w:r>
          </w:p>
        </w:tc>
        <w:tc>
          <w:tcPr>
            <w:tcW w:w="3640" w:type="dxa"/>
            <w:vAlign w:val="bottom"/>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22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5.15</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5.80</w:t>
            </w: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3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Pr>
          <w:p>
            <w:pPr>
              <w:jc w:val="right"/>
              <w:spacing w:after="0" w:line="202" w:lineRule="exact"/>
              <w:rPr>
                <w:sz w:val="20"/>
                <w:szCs w:val="20"/>
                <w:color w:val="auto"/>
              </w:rPr>
            </w:pPr>
            <w:r>
              <w:rPr>
                <w:rFonts w:ascii="Arial" w:cs="Arial" w:eastAsia="Arial" w:hAnsi="Arial"/>
                <w:sz w:val="18"/>
                <w:szCs w:val="18"/>
                <w:color w:val="auto"/>
              </w:rPr>
              <w:t>98.26%</w:t>
            </w: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Dividend yield</w:t>
            </w:r>
          </w:p>
        </w:tc>
        <w:tc>
          <w:tcPr>
            <w:tcW w:w="3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r>
    </w:tbl>
    <w:p>
      <w:pPr>
        <w:spacing w:after="0" w:line="224"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There were no stock options granted during the three months ended March 31, 2025. The weighted average grant-date fair value of stock options granted during the three months ended March 31, 2026 was $4.06 per option. 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was $0.2 million and $0.1 million in the three months ended March 31, 2026 and 2025,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restricted stock award activity for the three months ended March 31, 2026,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70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center"/>
              <w:ind w:right="33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7020" w:type="dxa"/>
            <w:vAlign w:val="bottom"/>
          </w:tcPr>
          <w:p>
            <w:pPr>
              <w:spacing w:after="0"/>
              <w:rPr>
                <w:sz w:val="17"/>
                <w:szCs w:val="17"/>
                <w:color w:val="auto"/>
              </w:rPr>
            </w:pPr>
          </w:p>
        </w:tc>
        <w:tc>
          <w:tcPr>
            <w:tcW w:w="20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center"/>
              <w:ind w:right="330"/>
              <w:spacing w:after="0" w:line="202" w:lineRule="exact"/>
              <w:rPr>
                <w:sz w:val="20"/>
                <w:szCs w:val="20"/>
                <w:color w:val="auto"/>
              </w:rPr>
            </w:pPr>
            <w:r>
              <w:rPr>
                <w:rFonts w:ascii="Arial" w:cs="Arial" w:eastAsia="Arial" w:hAnsi="Arial"/>
                <w:sz w:val="18"/>
                <w:szCs w:val="18"/>
                <w:b w:val="1"/>
                <w:bCs w:val="1"/>
                <w:color w:val="auto"/>
                <w:w w:val="99"/>
              </w:rPr>
              <w:t>Grant Date</w:t>
            </w:r>
          </w:p>
        </w:tc>
      </w:tr>
      <w:tr>
        <w:trPr>
          <w:trHeight w:val="221"/>
        </w:trPr>
        <w:tc>
          <w:tcPr>
            <w:tcW w:w="7020" w:type="dxa"/>
            <w:vAlign w:val="bottom"/>
          </w:tcPr>
          <w:p>
            <w:pPr>
              <w:spacing w:after="0"/>
              <w:rPr>
                <w:sz w:val="19"/>
                <w:szCs w:val="19"/>
                <w:color w:val="auto"/>
              </w:rPr>
            </w:pPr>
          </w:p>
        </w:tc>
        <w:tc>
          <w:tcPr>
            <w:tcW w:w="20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Fair Value</w:t>
            </w:r>
          </w:p>
        </w:tc>
      </w:tr>
      <w:tr>
        <w:trPr>
          <w:trHeight w:val="196"/>
        </w:trPr>
        <w:tc>
          <w:tcPr>
            <w:tcW w:w="7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as of January 1, 2026</w:t>
            </w:r>
          </w:p>
        </w:tc>
        <w:tc>
          <w:tcPr>
            <w:tcW w:w="2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166,550</w:t>
            </w:r>
          </w:p>
        </w:tc>
        <w:tc>
          <w:tcPr>
            <w:tcW w:w="4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3.18</w:t>
            </w:r>
          </w:p>
        </w:tc>
      </w:tr>
      <w:tr>
        <w:trPr>
          <w:trHeight w:val="203"/>
        </w:trPr>
        <w:tc>
          <w:tcPr>
            <w:tcW w:w="702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2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(13,239)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3.16</w:t>
            </w:r>
          </w:p>
        </w:tc>
      </w:tr>
      <w:tr>
        <w:trPr>
          <w:trHeight w:val="236"/>
        </w:trPr>
        <w:tc>
          <w:tcPr>
            <w:tcW w:w="70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as of March 31, 2026</w:t>
            </w:r>
          </w:p>
        </w:tc>
        <w:tc>
          <w:tcPr>
            <w:tcW w:w="20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153,311</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3.18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9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93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fair value of restricted stock awards vested during the three months ended March 31, 2026 and 2025, was $0.1 million and</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$0.7 million, respectively. The Company recorded stock compensation expense of a de minimis amount related to the restricted stock awards during each of the three months ended March 31, 2026 and 2025.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5" w:name="page26"/>
    <w:bookmarkEnd w:id="25"/>
    <w:p>
      <w:pPr>
        <w:ind w:right="60"/>
        <w:spacing w:after="0" w:line="253" w:lineRule="auto"/>
        <w:rPr>
          <w:sz w:val="20"/>
          <w:szCs w:val="20"/>
          <w:color w:val="auto"/>
        </w:rPr>
      </w:pPr>
      <w:r>
        <w:rPr>
          <w:rFonts w:ascii="Arial" w:cs="Arial" w:eastAsia="Arial" w:hAnsi="Arial"/>
          <w:sz w:val="18"/>
          <w:szCs w:val="18"/>
          <w:color w:val="auto"/>
        </w:rPr>
        <w:t>The following table summarizes unrecognized stock-based compensation expense as of March 31, 2026 by type of awards, and the weighted-average period over which that expense is expected to be recognized. The total unrecognized stock-based compensation expense will be adjusted for actual forfeitures as they occur.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Recognition</w:t>
            </w:r>
          </w:p>
        </w:tc>
      </w:tr>
      <w:tr>
        <w:trPr>
          <w:trHeight w:val="203"/>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7"/>
                <w:szCs w:val="17"/>
                <w:color w:val="auto"/>
              </w:rPr>
            </w:pPr>
          </w:p>
        </w:tc>
        <w:tc>
          <w:tcPr>
            <w:tcW w:w="20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Period</w:t>
            </w:r>
          </w:p>
        </w:tc>
      </w:tr>
      <w:tr>
        <w:trPr>
          <w:trHeight w:val="221"/>
        </w:trPr>
        <w:tc>
          <w:tcPr>
            <w:tcW w:w="7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19"/>
                <w:szCs w:val="19"/>
                <w:color w:val="auto"/>
              </w:rPr>
            </w:pPr>
          </w:p>
        </w:tc>
        <w:tc>
          <w:tcPr>
            <w:tcW w:w="2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(in years)</w:t>
            </w:r>
          </w:p>
        </w:tc>
      </w:tr>
      <w:tr>
        <w:trPr>
          <w:trHeight w:val="196"/>
        </w:trPr>
        <w:tc>
          <w:tcPr>
            <w:tcW w:w="7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23,036</w:t>
            </w:r>
          </w:p>
        </w:tc>
        <w:tc>
          <w:tcPr>
            <w:tcW w:w="214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2.94</w:t>
            </w:r>
          </w:p>
        </w:tc>
      </w:tr>
      <w:tr>
        <w:trPr>
          <w:trHeight w:val="239"/>
        </w:trPr>
        <w:tc>
          <w:tcPr>
            <w:tcW w:w="70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2.95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expense included in operating expenses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3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Borders>
              <w:bottom w:val="single" w:sz="8" w:color="auto"/>
            </w:tcBorders>
          </w:tcPr>
          <w:p>
            <w:pPr>
              <w:spacing w:after="0"/>
              <w:rPr>
                <w:sz w:val="19"/>
                <w:szCs w:val="19"/>
                <w:color w:val="auto"/>
              </w:rPr>
            </w:pPr>
          </w:p>
        </w:tc>
      </w:tr>
      <w:tr>
        <w:trPr>
          <w:trHeight w:val="196"/>
        </w:trPr>
        <w:tc>
          <w:tcPr>
            <w:tcW w:w="7080" w:type="dxa"/>
            <w:vAlign w:val="bottom"/>
          </w:tcPr>
          <w:p>
            <w:pPr>
              <w:spacing w:after="0"/>
              <w:rPr>
                <w:sz w:val="17"/>
                <w:szCs w:val="17"/>
                <w:color w:val="auto"/>
              </w:rPr>
            </w:pPr>
          </w:p>
        </w:tc>
        <w:tc>
          <w:tcPr>
            <w:tcW w:w="13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2026</w:t>
            </w: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7"/>
                <w:szCs w:val="17"/>
                <w:color w:val="auto"/>
              </w:rPr>
            </w:pPr>
          </w:p>
        </w:tc>
      </w:tr>
      <w:tr>
        <w:trPr>
          <w:trHeight w:val="196"/>
        </w:trPr>
        <w:tc>
          <w:tcPr>
            <w:tcW w:w="7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FF0FC"/>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586</w:t>
            </w:r>
          </w:p>
        </w:tc>
        <w:tc>
          <w:tcPr>
            <w:tcW w:w="144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943</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2,001</w:t>
            </w:r>
          </w:p>
        </w:tc>
        <w:tc>
          <w:tcPr>
            <w:tcW w:w="1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2,046</w:t>
            </w:r>
          </w:p>
        </w:tc>
      </w:tr>
      <w:tr>
        <w:trPr>
          <w:trHeight w:val="236"/>
        </w:trPr>
        <w:tc>
          <w:tcPr>
            <w:tcW w:w="70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FF0FC"/>
          </w:tcPr>
          <w:p>
            <w:pPr>
              <w:jc w:val="right"/>
              <w:ind w:right="111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2,587</w:t>
            </w:r>
          </w:p>
        </w:tc>
        <w:tc>
          <w:tcPr>
            <w:tcW w:w="1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2,989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4"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10"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In connection with the IFM acquisition, the Company is required to make future payments to the shareholders of IFM based on the occurrence of certain development, commercial, regulatory and sales milestones (see Note 5).</w:t>
      </w:r>
    </w:p>
    <w:p>
      <w:pPr>
        <w:spacing w:after="0" w:line="154"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In connection with the Rahko acquisition, the Company has a contingent payment obligation to the shareholders of Rahko upon the occurrence of certain qualifying events. No qualifying event has occurred as of March 31, 2026 (see Note 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1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a potential loss or a potential range of loss is probable and reasonably estimable under the provisions of the authoritative guidance that addresses accounting for contingencies. The Company expenses the costs related to its legal proceedings as incurred.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6" w:name="page27"/>
    <w:bookmarkEnd w:id="26"/>
    <w:p>
      <w:pPr>
        <w:ind w:left="760" w:hanging="752"/>
        <w:spacing w:after="0"/>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401(k) Savings Plan</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has not made any contributions to the 401(k) Plan.</w:t>
      </w:r>
    </w:p>
    <w:p>
      <w:pPr>
        <w:spacing w:after="0" w:line="174"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for the periods presented:</w:t>
      </w:r>
    </w:p>
    <w:p>
      <w:pPr>
        <w:spacing w:after="0" w:line="181"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6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(38,262)</w:t>
            </w:r>
          </w:p>
        </w:tc>
        <w:tc>
          <w:tcPr>
            <w:tcW w:w="5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(38,435)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7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(38,262)</w:t>
            </w:r>
          </w:p>
        </w:tc>
        <w:tc>
          <w:tcPr>
            <w:tcW w:w="52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(38,435)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FF0FC"/>
          </w:tcPr>
          <w:p>
            <w:pPr>
              <w:spacing w:after="0" w:line="163" w:lineRule="exact"/>
              <w:rPr>
                <w:sz w:val="20"/>
                <w:szCs w:val="20"/>
                <w:color w:val="auto"/>
              </w:rPr>
            </w:pPr>
            <w:r>
              <w:rPr>
                <w:rFonts w:ascii="Arial" w:cs="Arial" w:eastAsia="Arial" w:hAnsi="Arial"/>
                <w:sz w:val="18"/>
                <w:szCs w:val="18"/>
                <w:color w:val="auto"/>
              </w:rPr>
              <w:t>Weighted-average number of common shares used in computing net loss, basic and</w:t>
            </w:r>
          </w:p>
        </w:tc>
        <w:tc>
          <w:tcPr>
            <w:tcW w:w="300" w:type="dxa"/>
            <w:vAlign w:val="bottom"/>
            <w:shd w:val="clear" w:color="auto" w:fill="CFF0FC"/>
          </w:tcPr>
          <w:p>
            <w:pPr>
              <w:spacing w:after="0"/>
              <w:rPr>
                <w:sz w:val="14"/>
                <w:szCs w:val="14"/>
                <w:color w:val="auto"/>
              </w:rPr>
            </w:pPr>
          </w:p>
        </w:tc>
        <w:tc>
          <w:tcPr>
            <w:tcW w:w="15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5,655,716</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976,146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60" w:type="dxa"/>
            <w:vAlign w:val="bottom"/>
            <w:vMerge w:val="restart"/>
            <w:shd w:val="clear" w:color="auto" w:fill="CFF0FC"/>
          </w:tcPr>
          <w:p>
            <w:pPr>
              <w:spacing w:after="0" w:line="182" w:lineRule="exact"/>
              <w:rPr>
                <w:sz w:val="20"/>
                <w:szCs w:val="20"/>
                <w:color w:val="auto"/>
              </w:rPr>
            </w:pPr>
            <w:r>
              <w:rPr>
                <w:rFonts w:ascii="Arial" w:cs="Arial" w:eastAsia="Arial" w:hAnsi="Arial"/>
                <w:sz w:val="16"/>
                <w:szCs w:val="16"/>
                <w:color w:val="auto"/>
              </w:rPr>
              <w:t xml:space="preserve">diluted per share—basic and diluted </w:t>
            </w:r>
            <w:r>
              <w:rPr>
                <w:rFonts w:ascii="Arial" w:cs="Arial" w:eastAsia="Arial" w:hAnsi="Arial"/>
                <w:sz w:val="21"/>
                <w:szCs w:val="21"/>
                <w:color w:val="auto"/>
                <w:vertAlign w:val="superscript"/>
              </w:rPr>
              <w:t>(1)</w:t>
            </w:r>
          </w:p>
        </w:tc>
        <w:tc>
          <w:tcPr>
            <w:tcW w:w="300" w:type="dxa"/>
            <w:vAlign w:val="bottom"/>
            <w:shd w:val="clear" w:color="auto" w:fill="CFF0FC"/>
          </w:tcPr>
          <w:p>
            <w:pPr>
              <w:spacing w:after="0"/>
              <w:rPr>
                <w:sz w:val="12"/>
                <w:szCs w:val="12"/>
                <w:color w:val="auto"/>
              </w:rPr>
            </w:pPr>
          </w:p>
        </w:tc>
        <w:tc>
          <w:tcPr>
            <w:tcW w:w="154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9"/>
                <w:szCs w:val="9"/>
                <w:color w:val="auto"/>
              </w:rPr>
            </w:pPr>
          </w:p>
        </w:tc>
        <w:tc>
          <w:tcPr>
            <w:tcW w:w="7060" w:type="dxa"/>
            <w:vAlign w:val="bottom"/>
            <w:tcBorders>
              <w:bottom w:val="single" w:sz="8" w:color="CFF0FC"/>
            </w:tcBorders>
            <w:vMerge w:val="continue"/>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1540" w:type="dxa"/>
            <w:vAlign w:val="bottom"/>
            <w:tcBorders>
              <w:bottom w:val="single" w:sz="8" w:color="auto"/>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spacing w:after="0"/>
              <w:rPr>
                <w:sz w:val="9"/>
                <w:szCs w:val="9"/>
                <w:color w:val="auto"/>
              </w:rPr>
            </w:pPr>
          </w:p>
        </w:tc>
        <w:tc>
          <w:tcPr>
            <w:tcW w:w="1460" w:type="dxa"/>
            <w:vAlign w:val="bottom"/>
            <w:tcBorders>
              <w:bottom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60" w:type="dxa"/>
            <w:vAlign w:val="bottom"/>
          </w:tcPr>
          <w:p>
            <w:pPr>
              <w:spacing w:after="0" w:line="183"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183" w:lineRule="exact"/>
              <w:rPr>
                <w:sz w:val="20"/>
                <w:szCs w:val="20"/>
                <w:color w:val="auto"/>
              </w:rPr>
            </w:pPr>
            <w:r>
              <w:rPr>
                <w:rFonts w:ascii="Arial" w:cs="Arial" w:eastAsia="Arial" w:hAnsi="Arial"/>
                <w:sz w:val="18"/>
                <w:szCs w:val="18"/>
                <w:color w:val="auto"/>
              </w:rPr>
              <w:t>(6.77)</w:t>
            </w:r>
          </w:p>
        </w:tc>
        <w:tc>
          <w:tcPr>
            <w:tcW w:w="520" w:type="dxa"/>
            <w:vAlign w:val="bottom"/>
            <w:gridSpan w:val="2"/>
          </w:tcPr>
          <w:p>
            <w:pPr>
              <w:jc w:val="right"/>
              <w:ind w:right="280"/>
              <w:spacing w:after="0" w:line="183"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-565150</wp:posOffset>
            </wp:positionV>
            <wp:extent cx="939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-548005</wp:posOffset>
            </wp:positionV>
            <wp:extent cx="93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-179070</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-162560</wp:posOffset>
            </wp:positionV>
            <wp:extent cx="93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53" w:lineRule="exact"/>
        <w:rPr>
          <w:sz w:val="20"/>
          <w:szCs w:val="20"/>
          <w:color w:val="auto"/>
        </w:rPr>
      </w:pPr>
    </w:p>
    <w:p>
      <w:pPr>
        <w:ind w:right="320" w:firstLine="8"/>
        <w:spacing w:after="0" w:line="244" w:lineRule="auto"/>
        <w:tabs>
          <w:tab w:leader="none" w:pos="181"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The weighted-average number of common shares used in computing net loss basic and diluted per share for the three months ended March 31, 2026 includes 4,056,164 shares of common stock underlying Common Warrants issued as part of the Series D preferred stock financing during 2025.</w:t>
      </w:r>
    </w:p>
    <w:p>
      <w:pPr>
        <w:spacing w:after="0" w:line="39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attributable to common stockholders, as their effect is antidilutive: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9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5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90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7"/>
                <w:szCs w:val="17"/>
                <w:color w:val="auto"/>
              </w:rPr>
            </w:pPr>
          </w:p>
        </w:tc>
        <w:tc>
          <w:tcPr>
            <w:tcW w:w="194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2025</w:t>
            </w:r>
          </w:p>
        </w:tc>
      </w:tr>
      <w:tr>
        <w:trPr>
          <w:trHeight w:val="196"/>
        </w:trPr>
        <w:tc>
          <w:tcPr>
            <w:tcW w:w="72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4,605,675</w:t>
            </w:r>
          </w:p>
        </w:tc>
        <w:tc>
          <w:tcPr>
            <w:tcW w:w="206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2,291,377</w:t>
            </w: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Unvested restricted stock awards</w:t>
            </w:r>
          </w:p>
        </w:tc>
        <w:tc>
          <w:tcPr>
            <w:tcW w:w="1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153,311</w:t>
            </w:r>
          </w:p>
        </w:tc>
        <w:tc>
          <w:tcPr>
            <w:tcW w:w="20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7,989</w:t>
            </w:r>
          </w:p>
        </w:tc>
      </w:tr>
      <w:tr>
        <w:trPr>
          <w:trHeight w:val="203"/>
        </w:trPr>
        <w:tc>
          <w:tcPr>
            <w:tcW w:w="72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Series A convertible preferred stock (as converted to common stock)</w:t>
            </w:r>
          </w:p>
        </w:tc>
        <w:tc>
          <w:tcPr>
            <w:tcW w:w="1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2,918,391</w:t>
            </w:r>
          </w:p>
        </w:tc>
        <w:tc>
          <w:tcPr>
            <w:tcW w:w="20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3,091,478</w:t>
            </w: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Series A-1 convertible preferred stock (as converted to common stock)</w:t>
            </w:r>
          </w:p>
        </w:tc>
        <w:tc>
          <w:tcPr>
            <w:tcW w:w="1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804,894</w:t>
            </w:r>
          </w:p>
        </w:tc>
        <w:tc>
          <w:tcPr>
            <w:tcW w:w="20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804,893</w:t>
            </w:r>
          </w:p>
        </w:tc>
      </w:tr>
      <w:tr>
        <w:trPr>
          <w:trHeight w:val="203"/>
        </w:trPr>
        <w:tc>
          <w:tcPr>
            <w:tcW w:w="72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Series A-2 convertible preferred stock (as converted to common stock)</w:t>
            </w:r>
          </w:p>
        </w:tc>
        <w:tc>
          <w:tcPr>
            <w:tcW w:w="1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836,196</w:t>
            </w:r>
          </w:p>
        </w:tc>
        <w:tc>
          <w:tcPr>
            <w:tcW w:w="20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836,190</w:t>
            </w: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Series B convertible preferred stock (as converted to common stock)</w:t>
            </w:r>
          </w:p>
        </w:tc>
        <w:tc>
          <w:tcPr>
            <w:tcW w:w="1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2,865,384</w:t>
            </w:r>
          </w:p>
        </w:tc>
        <w:tc>
          <w:tcPr>
            <w:tcW w:w="20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2,865,387</w:t>
            </w:r>
          </w:p>
        </w:tc>
      </w:tr>
      <w:tr>
        <w:trPr>
          <w:trHeight w:val="203"/>
        </w:trPr>
        <w:tc>
          <w:tcPr>
            <w:tcW w:w="72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Series C convertible preferred stock (as converted to common stock)</w:t>
            </w:r>
          </w:p>
        </w:tc>
        <w:tc>
          <w:tcPr>
            <w:tcW w:w="1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2,412,468</w:t>
            </w:r>
          </w:p>
        </w:tc>
        <w:tc>
          <w:tcPr>
            <w:tcW w:w="20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2,412,468</w:t>
            </w:r>
          </w:p>
        </w:tc>
      </w:tr>
      <w:tr>
        <w:trPr>
          <w:trHeight w:val="202"/>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Series C-1 convertible preferred stock (as converted to common stock)</w:t>
            </w:r>
          </w:p>
        </w:tc>
        <w:tc>
          <w:tcPr>
            <w:tcW w:w="1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150,211</w:t>
            </w:r>
          </w:p>
        </w:tc>
        <w:tc>
          <w:tcPr>
            <w:tcW w:w="20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150,211</w:t>
            </w:r>
          </w:p>
        </w:tc>
      </w:tr>
      <w:tr>
        <w:trPr>
          <w:trHeight w:val="203"/>
        </w:trPr>
        <w:tc>
          <w:tcPr>
            <w:tcW w:w="72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Series D convertible preferred stock (as converted to common stock)</w:t>
            </w:r>
          </w:p>
        </w:tc>
        <w:tc>
          <w:tcPr>
            <w:tcW w:w="1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14,608,456</w:t>
            </w:r>
          </w:p>
        </w:tc>
        <w:tc>
          <w:tcPr>
            <w:tcW w:w="12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Series A-2 warrants (as converted to common stock)</w:t>
            </w:r>
          </w:p>
        </w:tc>
        <w:tc>
          <w:tcPr>
            <w:tcW w:w="1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1,742</w:t>
            </w:r>
          </w:p>
        </w:tc>
        <w:tc>
          <w:tcPr>
            <w:tcW w:w="120" w:type="dxa"/>
            <w:vAlign w:val="bottom"/>
          </w:tcPr>
          <w:p>
            <w:pPr>
              <w:spacing w:after="0"/>
              <w:rPr>
                <w:sz w:val="17"/>
                <w:szCs w:val="17"/>
                <w:color w:val="auto"/>
              </w:rPr>
            </w:pPr>
          </w:p>
        </w:tc>
        <w:tc>
          <w:tcPr>
            <w:tcW w:w="19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1,742</w:t>
            </w:r>
          </w:p>
        </w:tc>
      </w:tr>
      <w:tr>
        <w:trPr>
          <w:trHeight w:val="236"/>
        </w:trPr>
        <w:tc>
          <w:tcPr>
            <w:tcW w:w="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6700" w:type="dxa"/>
            <w:vAlign w:val="bottom"/>
            <w:shd w:val="clear" w:color="auto" w:fill="CFF0FC"/>
          </w:tcPr>
          <w:p>
            <w:pPr>
              <w:spacing w:after="0"/>
              <w:rPr>
                <w:sz w:val="20"/>
                <w:szCs w:val="20"/>
                <w:color w:val="auto"/>
              </w:rPr>
            </w:pPr>
          </w:p>
        </w:tc>
        <w:tc>
          <w:tcPr>
            <w:tcW w:w="1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29,356,728</w:t>
            </w:r>
          </w:p>
        </w:tc>
        <w:tc>
          <w:tcPr>
            <w:tcW w:w="206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12,461,735</w:t>
            </w:r>
          </w:p>
        </w:tc>
      </w:tr>
      <w:tr>
        <w:trPr>
          <w:trHeight w:val="451"/>
        </w:trPr>
        <w:tc>
          <w:tcPr>
            <w:tcW w:w="5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17.</w:t>
            </w:r>
          </w:p>
        </w:tc>
        <w:tc>
          <w:tcPr>
            <w:tcW w:w="6700" w:type="dxa"/>
            <w:vAlign w:val="bottom"/>
            <w:tcBorders>
              <w:top w:val="single" w:sz="8" w:color="CFF0FC"/>
            </w:tcBorders>
          </w:tcPr>
          <w:p>
            <w:pPr>
              <w:ind w:left="180"/>
              <w:spacing w:after="0"/>
              <w:rPr>
                <w:sz w:val="20"/>
                <w:szCs w:val="20"/>
                <w:color w:val="auto"/>
              </w:rPr>
            </w:pPr>
            <w:r>
              <w:rPr>
                <w:rFonts w:ascii="Arial" w:cs="Arial" w:eastAsia="Arial" w:hAnsi="Arial"/>
                <w:sz w:val="18"/>
                <w:szCs w:val="18"/>
                <w:b w:val="1"/>
                <w:bCs w:val="1"/>
                <w:color w:val="auto"/>
              </w:rPr>
              <w:t>Segment Information</w:t>
            </w:r>
          </w:p>
        </w:tc>
        <w:tc>
          <w:tcPr>
            <w:tcW w:w="1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-323850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-306705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Company operates and manages its business as one reportable segment and one operating segment, which is focused on the standard of care for patients suffering from autoimmune and inflammatory diseases. The chief operating decision maker (“CODM”) manages the Company’s operations on a consolidated basis, assesses performance for the operating segment and decides how to allocate resources based on consolidated net loss, which is reported on the condensed consolidated statements of operations and comprehensive loss.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7" w:name="page28"/>
    <w:bookmarkEnd w:id="27"/>
    <w:p>
      <w:pPr>
        <w:ind w:right="40"/>
        <w:spacing w:after="0" w:line="253" w:lineRule="auto"/>
        <w:rPr>
          <w:sz w:val="20"/>
          <w:szCs w:val="20"/>
          <w:color w:val="auto"/>
        </w:rPr>
      </w:pPr>
      <w:r>
        <w:rPr>
          <w:rFonts w:ascii="Arial" w:cs="Arial" w:eastAsia="Arial" w:hAnsi="Arial"/>
          <w:sz w:val="18"/>
          <w:szCs w:val="18"/>
          <w:color w:val="auto"/>
        </w:rPr>
        <w:t>The CODM uses consolidated net loss to evaluate the Company’s spend and monitor budget versus actual results. The monitoring of budgeted versus actual results is used in assessing the performance of the operating segment and in establishing resource allocation across the organization.</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condensed consolidated financial statements.</w:t>
      </w:r>
    </w:p>
    <w:p>
      <w:pPr>
        <w:spacing w:after="0" w:line="169"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measure of segment assets is reported on the condensed consolidated balance sheets as total assets. The following table presents certain financial data for the Company’s reportable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40" w:type="dxa"/>
            <w:vAlign w:val="bottom"/>
          </w:tcPr>
          <w:p>
            <w:pPr>
              <w:spacing w:after="0"/>
              <w:rPr>
                <w:sz w:val="19"/>
                <w:szCs w:val="19"/>
                <w:color w:val="auto"/>
              </w:rPr>
            </w:pPr>
          </w:p>
        </w:tc>
        <w:tc>
          <w:tcPr>
            <w:tcW w:w="35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7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7740" w:type="dxa"/>
            <w:vAlign w:val="bottom"/>
            <w:tcBorders>
              <w:right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Collaboration revenue</w:t>
            </w:r>
          </w:p>
        </w:tc>
        <w:tc>
          <w:tcPr>
            <w:tcW w:w="960" w:type="dxa"/>
            <w:vAlign w:val="bottom"/>
            <w:shd w:val="clear" w:color="auto" w:fill="CFF0FC"/>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Research and development expenses associated with preclinical and clinical studies </w:t>
            </w:r>
            <w:r>
              <w:rPr>
                <w:rFonts w:ascii="Arial" w:cs="Arial" w:eastAsia="Arial" w:hAnsi="Arial"/>
                <w:sz w:val="23"/>
                <w:szCs w:val="23"/>
                <w:color w:val="auto"/>
                <w:vertAlign w:val="superscript"/>
              </w:rPr>
              <w:t>(1)</w:t>
            </w:r>
          </w:p>
        </w:tc>
        <w:tc>
          <w:tcPr>
            <w:tcW w:w="960" w:type="dxa"/>
            <w:vAlign w:val="bottom"/>
            <w:shd w:val="clear" w:color="auto" w:fill="CFF0FC"/>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19,607</w:t>
            </w:r>
          </w:p>
        </w:tc>
        <w:tc>
          <w:tcPr>
            <w:tcW w:w="6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17,035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Facilities and related expenses, excluding depreciation and amortization </w:t>
            </w:r>
            <w:r>
              <w:rPr>
                <w:rFonts w:ascii="Arial" w:cs="Arial" w:eastAsia="Arial" w:hAnsi="Arial"/>
                <w:sz w:val="23"/>
                <w:szCs w:val="23"/>
                <w:color w:val="auto"/>
                <w:vertAlign w:val="superscript"/>
              </w:rPr>
              <w:t>(2)</w:t>
            </w:r>
          </w:p>
        </w:tc>
        <w:tc>
          <w:tcPr>
            <w:tcW w:w="9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2,622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8,880</w:t>
            </w: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General and corporate expenses </w:t>
            </w:r>
            <w:r>
              <w:rPr>
                <w:rFonts w:ascii="Arial" w:cs="Arial" w:eastAsia="Arial" w:hAnsi="Arial"/>
                <w:sz w:val="23"/>
                <w:szCs w:val="23"/>
                <w:color w:val="auto"/>
                <w:vertAlign w:val="superscript"/>
              </w:rPr>
              <w:t>(3)</w:t>
            </w: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Personnel-related expenses, excluding stock-based compensation</w:t>
            </w:r>
          </w:p>
        </w:tc>
        <w:tc>
          <w:tcPr>
            <w:tcW w:w="9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10,949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13,807</w:t>
            </w: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3"/>
                <w:szCs w:val="23"/>
                <w:color w:val="auto"/>
                <w:vertAlign w:val="superscript"/>
              </w:rPr>
              <w:t>(4)</w:t>
            </w: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2,349</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(2,094)</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spacing w:after="0" w:line="182" w:lineRule="exact"/>
              <w:rPr>
                <w:sz w:val="20"/>
                <w:szCs w:val="20"/>
                <w:color w:val="auto"/>
              </w:rPr>
            </w:pPr>
            <w:r>
              <w:rPr>
                <w:rFonts w:ascii="Arial" w:cs="Arial" w:eastAsia="Arial" w:hAnsi="Arial"/>
                <w:sz w:val="18"/>
                <w:szCs w:val="18"/>
                <w:color w:val="auto"/>
              </w:rPr>
              <w:t>Segment net loss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w w:val="98"/>
              </w:rPr>
              <w:t>38,262</w:t>
            </w:r>
          </w:p>
        </w:tc>
        <w:tc>
          <w:tcPr>
            <w:tcW w:w="6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38,435</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0" w:firstLine="8"/>
        <w:spacing w:after="0" w:line="260" w:lineRule="auto"/>
        <w:tabs>
          <w:tab w:leader="none" w:pos="181"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Research and development expenses associated with preclinical and clinical studies includes research software, professional services and laboratory operations supporting the Company’s research and development programs.</w:t>
      </w:r>
    </w:p>
    <w:p>
      <w:pPr>
        <w:spacing w:after="0" w:line="62"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Facilities and related expenses includes rent, common area maintenance costs, repairs and maintenance, utilities and real estate taxes.</w:t>
      </w:r>
    </w:p>
    <w:p>
      <w:pPr>
        <w:spacing w:after="0" w:line="85" w:lineRule="exact"/>
        <w:rPr>
          <w:rFonts w:ascii="Arial" w:cs="Arial" w:eastAsia="Arial" w:hAnsi="Arial"/>
          <w:sz w:val="21"/>
          <w:szCs w:val="21"/>
          <w:color w:val="auto"/>
          <w:vertAlign w:val="superscript"/>
        </w:rPr>
      </w:pPr>
    </w:p>
    <w:p>
      <w:pPr>
        <w:ind w:right="460" w:firstLine="8"/>
        <w:spacing w:after="0" w:line="230" w:lineRule="auto"/>
        <w:tabs>
          <w:tab w:leader="none" w:pos="197"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General and corporate expenses include general and administrative costs associated with professional and consulting fees and other overhead costs.</w:t>
      </w:r>
    </w:p>
    <w:p>
      <w:pPr>
        <w:spacing w:after="0" w:line="85" w:lineRule="exact"/>
        <w:rPr>
          <w:rFonts w:ascii="Arial" w:cs="Arial" w:eastAsia="Arial" w:hAnsi="Arial"/>
          <w:sz w:val="23"/>
          <w:szCs w:val="23"/>
          <w:color w:val="auto"/>
          <w:vertAlign w:val="superscript"/>
        </w:rPr>
      </w:pPr>
    </w:p>
    <w:p>
      <w:pPr>
        <w:ind w:right="80" w:firstLine="8"/>
        <w:spacing w:after="0"/>
        <w:tabs>
          <w:tab w:leader="none" w:pos="197"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For the three months ended March 31, 2026 and 2025, other segment items consist of interest income, stock-based compensation expense, depreciation and amortization expense, change in fair value of contingent consideration expense, income tax (benefit) provision and other (income) expense, net. Interest income consists of interest income earned on cash equivalents and marketable securities. Interest expense consists of interest expense on finance leases. Other (income) expense, net primarily consists of realized and unrealized gains and losses on marketable securities.</w:t>
      </w:r>
    </w:p>
    <w:p>
      <w:pPr>
        <w:spacing w:after="0" w:line="182"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has evaluated subsequent events through June 17, 2026, the date these unaudited condensed consolidated financial statements were available to be issued. Based on this review, the Company identified the following subsequent events requiring disclosure, in addition to its IPO and concurrent private placement as described in Note 1:</w:t>
      </w:r>
    </w:p>
    <w:p>
      <w:pPr>
        <w:spacing w:after="0" w:line="16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May 2026, the Company’s Board of Directors adopted the 2026 Long-Term Incentive Plan (the “2026 Plan”) and the 2026 Employee Stock Purchase Plan (the “ESPP”), which both became effective in connection with the IPO. The 2026 Plan provides for the grant of incentive stock options, nonstatutory stock options, stock appreciation rights, restricted stock, restricted stock units, unrestricted stock, performance-based awards and other stock-based awards or cash incentives to employees, directors and consultants. A total of 6,232,376 shares of the Company’s common stock have been reserved for future issuance under the 2026 Plan, in addition to any automatic increases in the number of shares of common stock reserved for future issuance under the 2026 Plan and any shares underlying outstanding stock awards granted under the 2021 Plan that expire or are repurchased, forfeited, cancelled or withheld. The ESPP reserved a total of 516,400 shares for future issuance of common stock pursuant to purchase rights granted to employees, in addition to any automatic increases in the number of shares of common stock reserved for future issuance under the ESPP.</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Upon the IPO, the Company granted 3,433,534 stock options to purchase shares of the Company’s common stock under the 2026 Plan to certain employees and directors, with an exercise price equal to the IPO price of $18.00 per share.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the related notes included elsewhere in this Quarterly Report and our audited consolidated financial statements and related notes included in our final prospectus for our initial public offering, or our IPO, filed with the SEC pursuant to Rule 424(b)(4) under the Securities Act of 1933, as amended, or the Securities Act, on May 8, 2026, or the IPO Prospectus. This discussion and other parts of this Quarterly Report contain forward-looking statements that are based upon current beliefs, plans and expectations related to future events and our future financial performance that involve risks, assumptions and uncertainties, such as statements of our plans, objectives, expectations, intentions, forecasts and projections. Our actual results and the timing of selected events could differ materially from those discussed in these forward-looking statements as a result of several factors, including, but not limited to those set forth under the section of this Quarterly Report titled “Risk Factors” and elsewhere in this Quarterly Report. You should carefully read the section of this Quarterly Report titled “Risk Factors” to gain an understanding of the important factors that could cause actual results to differ materially from our forward-looking statements. Please also see the section of this Quarterly Report titled “Special Note Regarding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Odyssey is a clinical-stage biopharmaceutical company led by a team and board of drug hunters seeking to transform the standard of care for patients suffering from autoimmune and inflammatory diseases. We believe our deep understanding of immunobiology, coupled with leading expertise in medicinal and computational chemistry, protein biochemistry, structural biology, genetics, and pharmacology, allows us to identify and drug key signaling nodes that drive disease. We have prioritized targets where we believe the underlying disease biology is understood through genetic, clinical, or translational evidence.</w:t>
      </w:r>
    </w:p>
    <w:p>
      <w:pPr>
        <w:spacing w:after="0" w:line="176"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Our most advanced programs include OD-001, an oral small-molecule scaffolding inhibitor of receptor-interacting protein kinase 2, or RIPK2, and OD-002, an oral small-molecule inhibitor of solute carrier family 15 member 4, or SLC15A4. OD-001 has achieved proof-of-concept in a phase 2a trial for the treatment of ulcerative colitis, or UC, one of the two main types of inflammatory bowel disease, or IBD, and OD-002 is currently in IND-enabling studies. These programs have the potential to yield treatments for inflammatory and autoimmune diseases that have large, addressable patient populations globally and a lack of effective treatments, including inflammatory bowel disease, or IBD, systemic lupus erythematosus, or SLE, and other disorders characterized either by the chronic overactivation of the type I interferon pathway, referred to as interferonopathies, or by pathogenic autoreactive B cells. In addition to our most advanced programs, we have a portfolio of wholly owned preclinical programs that include, but are not limited to, a regulatory T cells-specific tumor necrosis factor receptor 2 agonist, a bispecific antagonist of thymic stromal lymphopoietin and interleukin-33, and an interleukin-1 receptor-associated kinase 4 scaffolding inhibitor. We also have an interferon regulatory factor 5, or IRF5, inhibitor in preclinical development which we are collaborating on with Terray Therapeutics, Inc., or Terray.</w:t>
      </w:r>
    </w:p>
    <w:p>
      <w:pPr>
        <w:spacing w:after="0" w:line="186"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Since our inception in 2021, we have devoted substantially all of our resources to business planning, research and development activities, recruiting management and technical staff, raising capital, producing materials for preclinical studies and clinical trials, developing and establishing our intellectual property portfolio, entering into and performing under collaboration agreements, acquiring companies or assets to further our development programs and building infrastructure to support these activities. We do not have any products approved for sale and have not generated any revenue from product sales.</w:t>
      </w:r>
    </w:p>
    <w:p>
      <w:pPr>
        <w:spacing w:after="0" w:line="176" w:lineRule="exact"/>
        <w:rPr>
          <w:sz w:val="20"/>
          <w:szCs w:val="20"/>
          <w:color w:val="auto"/>
        </w:rPr>
      </w:pPr>
    </w:p>
    <w:p>
      <w:pPr>
        <w:ind w:right="100" w:firstLine="644"/>
        <w:spacing w:after="0" w:line="244" w:lineRule="auto"/>
        <w:rPr>
          <w:sz w:val="20"/>
          <w:szCs w:val="20"/>
          <w:color w:val="auto"/>
        </w:rPr>
      </w:pPr>
      <w:r>
        <w:rPr>
          <w:rFonts w:ascii="Arial" w:cs="Arial" w:eastAsia="Arial" w:hAnsi="Arial"/>
          <w:sz w:val="18"/>
          <w:szCs w:val="18"/>
          <w:color w:val="auto"/>
        </w:rPr>
        <w:t>We have incurred significant operating losses and negative cash flows since our inception. Our net loss was $38.3 million and $38.4 million for the three months ended March 31, 2026 and 2025, respectively. As of March 31, 2026, we had an accumulated deficit of $606.4 million and cash, cash equivalents, and marketable securities of $175.7 million. Since our inception, we have financed our operations primarily through the sale of shares of our convertible preferred stock, the proceeds from research collaborations and license agreements, and through the sale of our common stock as part of our IPO and concurrent private placement completed in May 2026.</w:t>
      </w:r>
    </w:p>
    <w:p>
      <w:pPr>
        <w:spacing w:after="0" w:line="176" w:lineRule="exact"/>
        <w:rPr>
          <w:sz w:val="20"/>
          <w:szCs w:val="20"/>
          <w:color w:val="auto"/>
        </w:rPr>
      </w:pPr>
    </w:p>
    <w:p>
      <w:pPr>
        <w:ind w:right="80" w:firstLine="644"/>
        <w:spacing w:after="0" w:line="244" w:lineRule="auto"/>
        <w:rPr>
          <w:sz w:val="20"/>
          <w:szCs w:val="20"/>
          <w:color w:val="auto"/>
        </w:rPr>
      </w:pPr>
      <w:r>
        <w:rPr>
          <w:rFonts w:ascii="Arial" w:cs="Arial" w:eastAsia="Arial" w:hAnsi="Arial"/>
          <w:sz w:val="18"/>
          <w:szCs w:val="18"/>
          <w:color w:val="auto"/>
        </w:rPr>
        <w:t>Based on our current operating plan, we estimate that our existing cash, cash equivalents and marketable securities as of March 31, 2026, together with the net proceeds received from our IPO and concurrent private placement completed in May 2026 will be sufficient to fund our operating expenses and capital expenditures into the second half of 2028. We have based this estimate and our forecast of cash resources and planned operations on our current assumptions, which may prove to be wrong, and we may exhaust our available capital resources sooner than we expect.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Additional funds will be necessary to maintain our current operations and to continue our research and development activities.</w:t>
      </w:r>
    </w:p>
    <w:p>
      <w:pPr>
        <w:spacing w:after="0" w:line="212"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and commercialize any such products. Because of the numerous risks and uncertainties associated with product development, we may never achieve profitability, and, unless we do, and until then, we will need to continue to raise additional capital.</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our expenses will increase substantially in connection with our ongoing and planned activities, as we:</w:t>
      </w:r>
    </w:p>
    <w:p>
      <w:pPr>
        <w:spacing w:after="0" w:line="104" w:lineRule="exact"/>
        <w:rPr>
          <w:sz w:val="20"/>
          <w:szCs w:val="20"/>
          <w:color w:val="auto"/>
        </w:rPr>
      </w:pPr>
    </w:p>
    <w:p>
      <w:pPr>
        <w:ind w:left="900" w:right="260" w:hanging="248"/>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progress the development of our product candidates, including our two most advanced programs: OD-001 and OD-002;</w:t>
      </w:r>
    </w:p>
    <w:p>
      <w:pPr>
        <w:spacing w:after="0" w:line="46" w:lineRule="exact"/>
        <w:rPr>
          <w:rFonts w:ascii="Times New Roman" w:cs="Times New Roman" w:eastAsia="Times New Roman" w:hAnsi="Times New Roman"/>
          <w:sz w:val="18"/>
          <w:szCs w:val="18"/>
          <w:color w:val="auto"/>
        </w:rPr>
      </w:pPr>
    </w:p>
    <w:p>
      <w:pPr>
        <w:ind w:left="900" w:right="440" w:hanging="248"/>
        <w:spacing w:after="0" w:line="252"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w:t>
      </w:r>
    </w:p>
    <w:p>
      <w:pPr>
        <w:spacing w:after="0" w:line="62"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and expand the manufacturing of preclinical and clinical supply of our current and future product candidates;</w:t>
      </w:r>
    </w:p>
    <w:p>
      <w:pPr>
        <w:spacing w:after="0" w:line="11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current product candidates or any future product candidates;</w:t>
      </w:r>
    </w:p>
    <w:p>
      <w:pPr>
        <w:spacing w:after="0" w:line="116" w:lineRule="exact"/>
        <w:rPr>
          <w:rFonts w:ascii="Times New Roman" w:cs="Times New Roman" w:eastAsia="Times New Roman" w:hAnsi="Times New Roman"/>
          <w:sz w:val="18"/>
          <w:szCs w:val="18"/>
          <w:color w:val="auto"/>
        </w:rPr>
      </w:pPr>
    </w:p>
    <w:p>
      <w:pPr>
        <w:ind w:left="900" w:right="140" w:hanging="248"/>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manufacturing and distribution infrastructure to commercialize any product candidates for which we may obtain marketing approval, if any;</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qualified clinical, scientific, operations and management personnel;</w:t>
      </w:r>
    </w:p>
    <w:p>
      <w:pPr>
        <w:spacing w:after="0" w:line="11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add and maintain operational, financial and information management systems;</w:t>
      </w:r>
    </w:p>
    <w:p>
      <w:pPr>
        <w:spacing w:after="0" w:line="116" w:lineRule="exact"/>
        <w:rPr>
          <w:rFonts w:ascii="Times New Roman" w:cs="Times New Roman" w:eastAsia="Times New Roman" w:hAnsi="Times New Roman"/>
          <w:sz w:val="18"/>
          <w:szCs w:val="18"/>
          <w:color w:val="auto"/>
        </w:rPr>
      </w:pPr>
    </w:p>
    <w:p>
      <w:pPr>
        <w:ind w:left="900" w:right="240" w:hanging="248"/>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protect, maintain, enforce and expand our rights in our intellectual property portfolio or acquire or in-license intellectual property and technologies from third parties;</w:t>
      </w:r>
    </w:p>
    <w:p>
      <w:pPr>
        <w:spacing w:after="0" w:line="46" w:lineRule="exact"/>
        <w:rPr>
          <w:rFonts w:ascii="Times New Roman" w:cs="Times New Roman" w:eastAsia="Times New Roman" w:hAnsi="Times New Roman"/>
          <w:sz w:val="18"/>
          <w:szCs w:val="18"/>
          <w:color w:val="auto"/>
        </w:rPr>
      </w:pPr>
    </w:p>
    <w:p>
      <w:pPr>
        <w:ind w:left="900" w:right="60" w:hanging="248"/>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in our preclinical studies or clinical trials and regulatory approval for our product candidates, including as a result of macroeconomic conditions, geopolitical conflicts or other factors; and</w:t>
      </w:r>
    </w:p>
    <w:p>
      <w:pPr>
        <w:spacing w:after="0" w:line="46" w:lineRule="exact"/>
        <w:rPr>
          <w:rFonts w:ascii="Times New Roman" w:cs="Times New Roman" w:eastAsia="Times New Roman" w:hAnsi="Times New Roman"/>
          <w:sz w:val="18"/>
          <w:szCs w:val="18"/>
          <w:color w:val="auto"/>
        </w:rPr>
      </w:pPr>
    </w:p>
    <w:p>
      <w:pPr>
        <w:ind w:left="900" w:right="120" w:hanging="248"/>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costs associated with operating as a public company.</w:t>
      </w:r>
    </w:p>
    <w:p>
      <w:pPr>
        <w:spacing w:after="0" w:line="154"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We do not currently own or operate any manufacturing facilities. We rely on third-party contract manufacturing organizations, or CMOs, to produce our drug candidates in accordance with the U.S. Food and Drug Administration’s, or the FDA, current good manufacturing practices, or cGMPs, for use in our clinical trials.</w:t>
      </w:r>
    </w:p>
    <w:p>
      <w:pPr>
        <w:spacing w:after="0" w:line="169" w:lineRule="exact"/>
        <w:rPr>
          <w:sz w:val="20"/>
          <w:szCs w:val="20"/>
          <w:color w:val="auto"/>
        </w:rPr>
      </w:pPr>
    </w:p>
    <w:p>
      <w:pPr>
        <w:jc w:val="both"/>
        <w:ind w:right="240" w:firstLine="636"/>
        <w:spacing w:after="0" w:line="253" w:lineRule="auto"/>
        <w:rPr>
          <w:sz w:val="20"/>
          <w:szCs w:val="20"/>
          <w:color w:val="auto"/>
        </w:rPr>
      </w:pPr>
      <w:r>
        <w:rPr>
          <w:rFonts w:ascii="Arial" w:cs="Arial" w:eastAsia="Arial" w:hAnsi="Arial"/>
          <w:sz w:val="18"/>
          <w:szCs w:val="18"/>
          <w:color w:val="auto"/>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spacing w:after="0" w:line="169"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0" w:name="page31"/>
    <w:bookmarkEnd w:id="30"/>
    <w:p>
      <w:pPr>
        <w:ind w:firstLine="636"/>
        <w:spacing w:after="0" w:line="247" w:lineRule="auto"/>
        <w:rPr>
          <w:sz w:val="20"/>
          <w:szCs w:val="20"/>
          <w:color w:val="auto"/>
        </w:rPr>
      </w:pPr>
      <w:r>
        <w:rPr>
          <w:rFonts w:ascii="Arial" w:cs="Arial" w:eastAsia="Arial" w:hAnsi="Arial"/>
          <w:sz w:val="18"/>
          <w:szCs w:val="18"/>
          <w:color w:val="auto"/>
        </w:rPr>
        <w:t>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 See the subsection titled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 for additional discussion of our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10"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We have not generated any revenue from product sales, and we do not expect to generate any revenue from the sale of products for the foreseeable future, if ever. Our ability to generate product revenues will depend on the successful development and eventual commercialization of any product candidates that we identify. If we fail to complete the development of any of our current or future product candidates in a timely manner or fail to obtain regulatory approval for those product candidates, our ability to generate future revenue and our business, results of operations, financial condition and prospects would be materially adversely affected.</w:t>
      </w:r>
    </w:p>
    <w:p>
      <w:pPr>
        <w:spacing w:after="0" w:line="176" w:lineRule="exact"/>
        <w:rPr>
          <w:sz w:val="20"/>
          <w:szCs w:val="20"/>
          <w:color w:val="auto"/>
        </w:rPr>
      </w:pPr>
    </w:p>
    <w:p>
      <w:pPr>
        <w:ind w:right="40" w:firstLine="636"/>
        <w:spacing w:after="0" w:line="242" w:lineRule="auto"/>
        <w:rPr>
          <w:sz w:val="20"/>
          <w:szCs w:val="20"/>
          <w:color w:val="auto"/>
        </w:rPr>
      </w:pPr>
      <w:r>
        <w:rPr>
          <w:rFonts w:ascii="Arial" w:cs="Arial" w:eastAsia="Arial" w:hAnsi="Arial"/>
          <w:sz w:val="18"/>
          <w:szCs w:val="18"/>
          <w:color w:val="auto"/>
        </w:rPr>
        <w:t>We did not have any revenue for the three months ended March 31, 2026. For the three months ended March 31, 2025 our revenue consisted of collaboration revenue earned under the Material Transfer and Evaluation Agreement, dated December 20, 2022, or the Pfizer MTA, with Pfizer Inc., or Pfizer, which expired by its terms in 2025, and revenue earned under the Strategic Collaboration, Option and License Agreement, dated March 29, 2024, or the J&amp;J Agreement, with Janssen Pharmaceutica NV, a Johnson &amp; Johnson company, or J&amp;J. For additional information about our revenue recognition policy related to our collaboration agreements, refer to Note 4 to our unaudited condensed consolidated financial statements included elsewhere in this Quarterly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0" w:lineRule="exact"/>
        <w:rPr>
          <w:sz w:val="20"/>
          <w:szCs w:val="20"/>
          <w:color w:val="auto"/>
        </w:rPr>
      </w:pPr>
    </w:p>
    <w:p>
      <w:pPr>
        <w:ind w:right="100" w:firstLine="636"/>
        <w:spacing w:after="0" w:line="271" w:lineRule="auto"/>
        <w:rPr>
          <w:sz w:val="20"/>
          <w:szCs w:val="20"/>
          <w:color w:val="auto"/>
        </w:rPr>
      </w:pPr>
      <w:r>
        <w:rPr>
          <w:rFonts w:ascii="Arial" w:cs="Arial" w:eastAsia="Arial" w:hAnsi="Arial"/>
          <w:sz w:val="18"/>
          <w:szCs w:val="18"/>
          <w:color w:val="auto"/>
        </w:rPr>
        <w:t>Our operating expenses consist of (i) research and development expenses, (ii) general and administrative expenses and (iii) change in fair value of contingent consideration.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largest component of our total operating expenses since our inception has been research and development activities, including costs incurred relating to discovery efforts and the preclinical and clinical development of our product candidates. Research and development expenses consist primarily of internal personnel-related expenses, such as compensation and benefits for research and development employees, including stock-based compensation; external expenses associated with preclinical studies and clinical trials, including costs incurred under agreements with contract research organizations, or CROs, investigative sites that conduct preclinical studies and clinical trials, payments under licensing and research and development agreements and other outside services and consulting costs; costs of acquiring and manufacturing clinical trial materials and other supplies; software and information technology, or IT, costs; and allocated facility-related costs, such as rent, utilities and depreciation. Research and development costs are expensed as incurred.</w:t>
      </w:r>
    </w:p>
    <w:p>
      <w:pPr>
        <w:spacing w:after="0" w:line="180" w:lineRule="exact"/>
        <w:rPr>
          <w:sz w:val="20"/>
          <w:szCs w:val="20"/>
          <w:color w:val="auto"/>
        </w:rPr>
      </w:pPr>
    </w:p>
    <w:p>
      <w:pPr>
        <w:ind w:right="80" w:firstLine="644"/>
        <w:spacing w:after="0" w:line="242" w:lineRule="auto"/>
        <w:rPr>
          <w:sz w:val="20"/>
          <w:szCs w:val="20"/>
          <w:color w:val="auto"/>
        </w:rPr>
      </w:pPr>
      <w:r>
        <w:rPr>
          <w:rFonts w:ascii="Arial" w:cs="Arial" w:eastAsia="Arial" w:hAnsi="Arial"/>
          <w:sz w:val="18"/>
          <w:szCs w:val="18"/>
          <w:color w:val="auto"/>
        </w:rPr>
        <w:t>We do not disaggregate external expenses associated with our preclinical studies from those associated with our clinical trials, because many of these external expenses relate to both preclinical studies and clinical trials across our development programs. We also do not allocate employee-related costs, laboratory supplies, and facilities, including other internal costs, to specific product candidates, because these costs are associated with multiple programs and, as such, are not separately classified. We use internal resources primarily for managing our product development, manufacturing and clinical development activities. We deploy our personnel across all of our research and development activities as our employees work across multiple programs.</w:t>
      </w:r>
    </w:p>
    <w:p>
      <w:pPr>
        <w:spacing w:after="0" w:line="179" w:lineRule="exact"/>
        <w:rPr>
          <w:sz w:val="20"/>
          <w:szCs w:val="20"/>
          <w:color w:val="auto"/>
        </w:rPr>
      </w:pPr>
    </w:p>
    <w:p>
      <w:pPr>
        <w:ind w:right="60" w:firstLine="636"/>
        <w:spacing w:after="0"/>
        <w:rPr>
          <w:sz w:val="20"/>
          <w:szCs w:val="20"/>
          <w:color w:val="auto"/>
        </w:rPr>
      </w:pPr>
      <w:r>
        <w:rPr>
          <w:rFonts w:ascii="Arial" w:cs="Arial" w:eastAsia="Arial" w:hAnsi="Arial"/>
          <w:sz w:val="18"/>
          <w:szCs w:val="18"/>
          <w:color w:val="auto"/>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ind w:right="340" w:firstLine="636"/>
        <w:spacing w:after="0" w:line="244" w:lineRule="auto"/>
        <w:rPr>
          <w:sz w:val="20"/>
          <w:szCs w:val="20"/>
          <w:color w:val="auto"/>
        </w:rPr>
      </w:pPr>
      <w:r>
        <w:rPr>
          <w:rFonts w:ascii="Arial" w:cs="Arial" w:eastAsia="Arial" w:hAnsi="Arial"/>
          <w:sz w:val="18"/>
          <w:szCs w:val="18"/>
          <w:color w:val="auto"/>
        </w:rPr>
        <w:t>General and administrative expenses consist primarily of payroll and personnel-related expenses, including salaries, employee benefit costs, travel and business expenses and stock-based compensation expense for our general and administrative personnel; professional fees for legal, consulting, accounting and tax services; software and IT costs; allocated overhead, including allocated facility-related costs, including rent, utilities and depreciation; and other general operating expenses not otherwise classified as research and development expenses.</w:t>
      </w:r>
    </w:p>
    <w:p>
      <w:pPr>
        <w:spacing w:after="0" w:line="176" w:lineRule="exact"/>
        <w:rPr>
          <w:sz w:val="20"/>
          <w:szCs w:val="20"/>
          <w:color w:val="auto"/>
        </w:rPr>
      </w:pPr>
    </w:p>
    <w:p>
      <w:pPr>
        <w:ind w:right="240" w:firstLine="636"/>
        <w:spacing w:after="0" w:line="244" w:lineRule="auto"/>
        <w:rPr>
          <w:sz w:val="20"/>
          <w:szCs w:val="20"/>
          <w:color w:val="auto"/>
        </w:rPr>
      </w:pPr>
      <w:r>
        <w:rPr>
          <w:rFonts w:ascii="Arial" w:cs="Arial" w:eastAsia="Arial" w:hAnsi="Arial"/>
          <w:sz w:val="18"/>
          <w:szCs w:val="18"/>
          <w:color w:val="auto"/>
        </w:rPr>
        <w:t>We anticipate that our general and administrative expenses will continue increasing, as a result of increased personnel costs, including salaries, benefits and stock-based compensation expense, patent costs for our product candidates, expanded infrastructure and higher legal, consulting and accounting services associated with maintaining compliance with the listing requirements of the Nasdaq Stock Market LLC, or Nasdaq, and rules and regulations promulgated under the Securities Exchange Act of 1934, as amended, or the Exchange Act, investor relations costs and director and officer insurance premiums associated with being a public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fair value of contingent consideration</w:t>
      </w:r>
    </w:p>
    <w:p>
      <w:pPr>
        <w:spacing w:after="0" w:line="210" w:lineRule="exact"/>
        <w:rPr>
          <w:sz w:val="20"/>
          <w:szCs w:val="20"/>
          <w:color w:val="auto"/>
        </w:rPr>
      </w:pPr>
    </w:p>
    <w:p>
      <w:pPr>
        <w:ind w:firstLine="636"/>
        <w:spacing w:after="0" w:line="253" w:lineRule="auto"/>
        <w:rPr>
          <w:sz w:val="20"/>
          <w:szCs w:val="20"/>
          <w:color w:val="auto"/>
        </w:rPr>
      </w:pPr>
      <w:r>
        <w:rPr>
          <w:rFonts w:ascii="Arial" w:cs="Arial" w:eastAsia="Arial" w:hAnsi="Arial"/>
          <w:sz w:val="18"/>
          <w:szCs w:val="18"/>
          <w:color w:val="auto"/>
        </w:rPr>
        <w:t>Expenses associated with changes in fair value of contingent consideration are driven by changes in the assumptions used by management in estimating the fair value of future payments that may be made by us to the previous members of IFM Discovery, LLC, or IFM, as a result of our acquisition of IFM in 2022, and Rahko Limited, or Rahko, as a result of our acquisition of Rahko in 2021.</w:t>
      </w:r>
    </w:p>
    <w:p>
      <w:pPr>
        <w:spacing w:after="0" w:line="169"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For additional information about the changes in fair value of contingent consideration, refer to Note 5 to our unaudited condensed consolidated financial statements included elsewhere in this Quarterly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10" w:lineRule="exact"/>
        <w:rPr>
          <w:sz w:val="20"/>
          <w:szCs w:val="20"/>
          <w:color w:val="auto"/>
        </w:rPr>
      </w:pPr>
    </w:p>
    <w:p>
      <w:pPr>
        <w:ind w:right="200" w:firstLine="636"/>
        <w:spacing w:after="0" w:line="271" w:lineRule="auto"/>
        <w:rPr>
          <w:sz w:val="20"/>
          <w:szCs w:val="20"/>
          <w:color w:val="auto"/>
        </w:rPr>
      </w:pPr>
      <w:r>
        <w:rPr>
          <w:rFonts w:ascii="Arial" w:cs="Arial" w:eastAsia="Arial" w:hAnsi="Arial"/>
          <w:sz w:val="18"/>
          <w:szCs w:val="18"/>
          <w:color w:val="auto"/>
        </w:rPr>
        <w:t>Interest income consists primarily of interest generated on our interest-bearing cash and cash equivalent accounts and accretion of discounts and amortization of premiums related to our marketable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primarily of interest on our finance leases for certain lab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net consists primarily of realized and unrealized foreign currency transaction losses.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10"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Income tax provision consists of U.S. state and foreign taxes in jurisdictions in which we conduct business. Since our inception, we have not recorded any income tax benefits for the net losses we have incurred or for our earned research and development tax credits, as we believe, based upon the weight of available evidence, that it is more likely than not that not all of our net operating loss carryforwards and tax credits will be realized. As of March 31, 2026, we have recorded a full valuation allowance against our net deferred tax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w w:val="99"/>
              </w:rPr>
              <w:t>2025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1,918</w:t>
            </w:r>
          </w:p>
        </w:tc>
        <w:tc>
          <w:tcPr>
            <w:tcW w:w="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32,321</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38,774</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03"/>
        </w:trPr>
        <w:tc>
          <w:tcPr>
            <w:tcW w:w="6140" w:type="dxa"/>
            <w:vAlign w:val="bottom"/>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7"/>
                <w:szCs w:val="17"/>
                <w:color w:val="auto"/>
              </w:rPr>
            </w:pPr>
          </w:p>
        </w:tc>
        <w:tc>
          <w:tcPr>
            <w:tcW w:w="1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7,350</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7,952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614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109</w:t>
            </w: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(5,648)</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196"/>
        </w:trPr>
        <w:tc>
          <w:tcPr>
            <w:tcW w:w="6140" w:type="dxa"/>
            <w:vAlign w:val="bottom"/>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39,780</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41,078</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(39,780)</w:t>
            </w: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(39,160)</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1,708</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1,156</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3"/>
        </w:trPr>
        <w:tc>
          <w:tcPr>
            <w:tcW w:w="614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14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(289)</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color w:val="auto"/>
              </w:rPr>
              <w:t>Total other income, net</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1,581</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before income taxes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(38,199)</w:t>
            </w: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(38,295)</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(38,262)</w:t>
            </w:r>
          </w:p>
        </w:tc>
        <w:tc>
          <w:tcPr>
            <w:tcW w:w="660" w:type="dxa"/>
            <w:vAlign w:val="bottom"/>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(38,435)</w:t>
            </w:r>
          </w:p>
        </w:tc>
        <w:tc>
          <w:tcPr>
            <w:tcW w:w="4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-1370965</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-1370965</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-1096645</wp:posOffset>
            </wp:positionV>
            <wp:extent cx="102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-1096645</wp:posOffset>
            </wp:positionV>
            <wp:extent cx="102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-574040</wp:posOffset>
            </wp:positionV>
            <wp:extent cx="102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-574040</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-299720</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-299720</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10"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Collaboration revenue decreased by $1.9 million, from $1.9 million for the three months ended March 31, 2025 compared to zero for the three months ended March 31, 2026. The decrease is related to the Company fulfilling all of its current obligations under the J&amp;J Agreement and the expiration of the Pfizer MTA during the year ended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w w:val="99"/>
              </w:rPr>
              <w:t>2025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Internal personnel-related expenses (including stock-based compensation)</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9,122</w:t>
            </w:r>
          </w:p>
        </w:tc>
        <w:tc>
          <w:tcPr>
            <w:tcW w:w="66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11,882</w:t>
            </w:r>
          </w:p>
        </w:tc>
        <w:tc>
          <w:tcPr>
            <w:tcW w:w="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External expenses associated with preclinical and clinical studies</w:t>
            </w:r>
          </w:p>
        </w:tc>
        <w:tc>
          <w:tcPr>
            <w:tcW w:w="200" w:type="dxa"/>
            <w:vAlign w:val="bottom"/>
          </w:tcPr>
          <w:p>
            <w:pPr>
              <w:spacing w:after="0"/>
              <w:rPr>
                <w:sz w:val="17"/>
                <w:szCs w:val="17"/>
                <w:color w:val="auto"/>
              </w:rPr>
            </w:pPr>
          </w:p>
        </w:tc>
        <w:tc>
          <w:tcPr>
            <w:tcW w:w="1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15,658</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12,629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software, professional services and laboratory operations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3,949</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4,406</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Facility-related costs (including depreciation)</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3,592</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9,857</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32,321</w:t>
            </w:r>
          </w:p>
        </w:tc>
        <w:tc>
          <w:tcPr>
            <w:tcW w:w="660" w:type="dxa"/>
            <w:vAlign w:val="bottom"/>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38,774</w:t>
            </w:r>
          </w:p>
        </w:tc>
        <w:tc>
          <w:tcPr>
            <w:tcW w:w="4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-25400</wp:posOffset>
            </wp:positionV>
            <wp:extent cx="102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102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102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102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4" w:lineRule="exact"/>
        <w:rPr>
          <w:sz w:val="20"/>
          <w:szCs w:val="20"/>
          <w:color w:val="auto"/>
        </w:rPr>
      </w:pPr>
    </w:p>
    <w:p>
      <w:pPr>
        <w:ind w:right="240" w:firstLine="644"/>
        <w:spacing w:after="0" w:line="271" w:lineRule="auto"/>
        <w:rPr>
          <w:sz w:val="20"/>
          <w:szCs w:val="20"/>
          <w:color w:val="auto"/>
        </w:rPr>
      </w:pPr>
      <w:r>
        <w:rPr>
          <w:rFonts w:ascii="Arial" w:cs="Arial" w:eastAsia="Arial" w:hAnsi="Arial"/>
          <w:sz w:val="18"/>
          <w:szCs w:val="18"/>
          <w:color w:val="auto"/>
        </w:rPr>
        <w:t>Research and development expenses decreased by $6.5 million, from $38.8 million for the three months ended March 31, 2025 to $32.3 million for the three months ended March 31, 2026. This decrease was primarily attributable to:</w:t>
      </w:r>
    </w:p>
    <w:p>
      <w:pPr>
        <w:spacing w:after="0" w:line="46" w:lineRule="exact"/>
        <w:rPr>
          <w:sz w:val="20"/>
          <w:szCs w:val="20"/>
          <w:color w:val="auto"/>
        </w:rPr>
      </w:pPr>
    </w:p>
    <w:p>
      <w:pPr>
        <w:ind w:left="900" w:right="80" w:hanging="248"/>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$6.3 million decrease in facility related costs primarily related to an impairment of our San Diego lease right-of-use asset during the three months ended March 31, 2025;</w:t>
      </w:r>
    </w:p>
    <w:p>
      <w:pPr>
        <w:spacing w:after="0" w:line="46" w:lineRule="exact"/>
        <w:rPr>
          <w:rFonts w:ascii="Times New Roman" w:cs="Times New Roman" w:eastAsia="Times New Roman" w:hAnsi="Times New Roman"/>
          <w:sz w:val="18"/>
          <w:szCs w:val="18"/>
          <w:color w:val="auto"/>
        </w:rPr>
      </w:pPr>
    </w:p>
    <w:p>
      <w:pPr>
        <w:ind w:left="900" w:right="640" w:hanging="248"/>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$2.8 million decrease in internal personnel-related expenses, primarily attributable to a lower headcount during the three months ended March 31, 2026 as compared to March 31, 2025;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3" w:name="page34"/>
    <w:bookmarkEnd w:id="33"/>
    <w:p>
      <w:pPr>
        <w:ind w:left="900" w:right="540" w:hanging="248"/>
        <w:spacing w:after="0" w:line="270" w:lineRule="auto"/>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 $0.5 million decrease in research software, professional services and laboratory operations, primarily due to the transition between preclinical studies and clinical trial programs.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w:t>
      </w:r>
    </w:p>
    <w:p>
      <w:pPr>
        <w:spacing w:after="0" w:line="104" w:lineRule="exact"/>
        <w:rPr>
          <w:sz w:val="20"/>
          <w:szCs w:val="20"/>
          <w:color w:val="auto"/>
        </w:rPr>
      </w:pPr>
    </w:p>
    <w:p>
      <w:pPr>
        <w:ind w:left="900" w:right="200" w:hanging="248"/>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 $3.0 million increase in external expenses associated with preclinical and clinical studies, primarily due to an increase in CRO expenses and chemistry, manufacturing, and controls activities primarily associated with our ongoing OD-001 phase 2a trial.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general and administrative expenses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w w:val="99"/>
              </w:rPr>
              <w:t>2025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Payroll and personnel-related expenses (including stock-based</w:t>
            </w:r>
          </w:p>
        </w:tc>
        <w:tc>
          <w:tcPr>
            <w:tcW w:w="9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4,414</w:t>
            </w:r>
          </w:p>
        </w:tc>
        <w:tc>
          <w:tcPr>
            <w:tcW w:w="6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4,914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960" w:type="dxa"/>
            <w:vAlign w:val="bottom"/>
          </w:tcPr>
          <w:p>
            <w:pPr>
              <w:spacing w:after="0"/>
              <w:rPr>
                <w:sz w:val="17"/>
                <w:szCs w:val="17"/>
                <w:color w:val="auto"/>
              </w:rPr>
            </w:pP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2,068</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2,074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Software and IT costs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519</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503</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6140" w:type="dxa"/>
            <w:vAlign w:val="bottom"/>
          </w:tcPr>
          <w:p>
            <w:pPr>
              <w:spacing w:after="0" w:line="202" w:lineRule="exact"/>
              <w:rPr>
                <w:sz w:val="20"/>
                <w:szCs w:val="20"/>
                <w:color w:val="auto"/>
              </w:rPr>
            </w:pPr>
            <w:r>
              <w:rPr>
                <w:rFonts w:ascii="Arial" w:cs="Arial" w:eastAsia="Arial" w:hAnsi="Arial"/>
                <w:sz w:val="18"/>
                <w:szCs w:val="18"/>
                <w:color w:val="auto"/>
              </w:rPr>
              <w:t>Facility-related costs (including depreciation)</w:t>
            </w:r>
          </w:p>
        </w:tc>
        <w:tc>
          <w:tcPr>
            <w:tcW w:w="960" w:type="dxa"/>
            <w:vAlign w:val="bottom"/>
          </w:tcPr>
          <w:p>
            <w:pPr>
              <w:spacing w:after="0"/>
              <w:rPr>
                <w:sz w:val="17"/>
                <w:szCs w:val="17"/>
                <w:color w:val="auto"/>
              </w:rPr>
            </w:pP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201</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6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general and administrative expenses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148</w:t>
            </w: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148</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color w:val="auto"/>
              </w:rPr>
              <w:t>Total general and administrative expenses</w:t>
            </w:r>
          </w:p>
        </w:tc>
        <w:tc>
          <w:tcPr>
            <w:tcW w:w="96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7,350</w:t>
            </w:r>
          </w:p>
        </w:tc>
        <w:tc>
          <w:tcPr>
            <w:tcW w:w="66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7,952</w:t>
            </w:r>
          </w:p>
        </w:tc>
        <w:tc>
          <w:tcPr>
            <w:tcW w:w="4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-162560</wp:posOffset>
            </wp:positionV>
            <wp:extent cx="102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-162560</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7" w:lineRule="exact"/>
        <w:rPr>
          <w:sz w:val="20"/>
          <w:szCs w:val="20"/>
          <w:color w:val="auto"/>
        </w:rPr>
      </w:pPr>
    </w:p>
    <w:p>
      <w:pPr>
        <w:ind w:right="100" w:firstLine="644"/>
        <w:spacing w:after="0" w:line="271" w:lineRule="auto"/>
        <w:rPr>
          <w:sz w:val="20"/>
          <w:szCs w:val="20"/>
          <w:color w:val="auto"/>
        </w:rPr>
      </w:pPr>
      <w:r>
        <w:rPr>
          <w:rFonts w:ascii="Arial" w:cs="Arial" w:eastAsia="Arial" w:hAnsi="Arial"/>
          <w:sz w:val="18"/>
          <w:szCs w:val="18"/>
          <w:color w:val="auto"/>
        </w:rPr>
        <w:t>General and administrative expenses decreased by $ 0.6 million, from $8.0 million during the three months ended March 31, 2025 to $7.4 million for the three months ended March 31, 2026. This decrease was primarily attributable to:</w:t>
      </w:r>
    </w:p>
    <w:p>
      <w:pPr>
        <w:spacing w:after="0" w:line="46" w:lineRule="exact"/>
        <w:rPr>
          <w:sz w:val="20"/>
          <w:szCs w:val="20"/>
          <w:color w:val="auto"/>
        </w:rPr>
      </w:pPr>
    </w:p>
    <w:p>
      <w:pPr>
        <w:ind w:left="900" w:right="340" w:hanging="248"/>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$0.5 million decrease in payroll and personnel-related expenses, primarily attributable to a lower headcount during the three months ended March 31, 2026 as compared to March 31, 2025; and</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$0.1 million decrease in facility-related costs related to decreased rental and facility costs.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fair value of contingent consideration</w:t>
      </w:r>
    </w:p>
    <w:p>
      <w:pPr>
        <w:spacing w:after="0" w:line="210" w:lineRule="exact"/>
        <w:rPr>
          <w:sz w:val="20"/>
          <w:szCs w:val="20"/>
          <w:color w:val="auto"/>
        </w:rPr>
      </w:pPr>
    </w:p>
    <w:p>
      <w:pPr>
        <w:ind w:right="60" w:firstLine="644"/>
        <w:spacing w:after="0" w:line="247" w:lineRule="auto"/>
        <w:rPr>
          <w:sz w:val="20"/>
          <w:szCs w:val="20"/>
          <w:color w:val="auto"/>
        </w:rPr>
      </w:pPr>
      <w:r>
        <w:rPr>
          <w:rFonts w:ascii="Arial" w:cs="Arial" w:eastAsia="Arial" w:hAnsi="Arial"/>
          <w:sz w:val="18"/>
          <w:szCs w:val="18"/>
          <w:color w:val="auto"/>
        </w:rPr>
        <w:t>Changes in fair value of contingent consideration decreased by $5.8 million to expense of $0.1 million for the three months ended March 31, 2026 compared to income of $5.6 million for the three months ended March 31, 2025. The decrease was driven by changes in the assumptions management used in estimating the fair value of future payments that we may be obligated to make to IFM and Rahko, period over period, including the discount rate, timing of milestone events and probability of achieving the milestones.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10"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Interest income increased by $0.6 million from $1.2 million for the three months ended March 31, 2025 to $1.7 million for the three months ended March 31, 2026. The increase is primarily attributed to additional cash invested in investments and interest-bearing accounts during the three months ended March 31, 2026 as compared to the three months ended March 31, 2025, given the proceeds received from the Series D convertible preferred stock financing completed in the second half of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right="480" w:firstLine="636"/>
        <w:spacing w:after="0" w:line="271" w:lineRule="auto"/>
        <w:rPr>
          <w:sz w:val="20"/>
          <w:szCs w:val="20"/>
          <w:color w:val="auto"/>
        </w:rPr>
      </w:pPr>
      <w:r>
        <w:rPr>
          <w:rFonts w:ascii="Arial" w:cs="Arial" w:eastAsia="Arial" w:hAnsi="Arial"/>
          <w:sz w:val="18"/>
          <w:szCs w:val="18"/>
          <w:color w:val="auto"/>
        </w:rPr>
        <w:t>Interest expense did not significantly fluctuate during the three months ended March 31, 2026 as compared to the three months ended March 31, 2025, and is attributable to interest on our finance leases for certain lab equipment.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0"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Other income (expense), net decreased by $0.2 million from expense of $0.3 million during the three months ended March 31, 2025 compared to expense of $0.1 million during the three months ended March 31, 2026. The decrease primarily relates to fluctuations in unrealized foreign currency gains and losses.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Income tax (benefit) provision</w:t>
      </w:r>
    </w:p>
    <w:p>
      <w:pPr>
        <w:spacing w:after="0" w:line="210"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Income tax provision decreased by $77 thousand from expense of $140 thousand for the three months ended March 31, 2025 to expense of $63 thousand for the three months ended March 31, 2026, primarily related to income taxes in foreign jurisdictions.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0" w:lineRule="exact"/>
        <w:rPr>
          <w:sz w:val="20"/>
          <w:szCs w:val="20"/>
          <w:color w:val="auto"/>
        </w:rPr>
      </w:pPr>
    </w:p>
    <w:p>
      <w:pPr>
        <w:ind w:firstLine="449"/>
        <w:spacing w:after="0" w:line="242" w:lineRule="auto"/>
        <w:rPr>
          <w:sz w:val="20"/>
          <w:szCs w:val="20"/>
          <w:color w:val="auto"/>
        </w:rPr>
      </w:pPr>
      <w:r>
        <w:rPr>
          <w:rFonts w:ascii="Arial" w:cs="Arial" w:eastAsia="Arial" w:hAnsi="Arial"/>
          <w:sz w:val="18"/>
          <w:szCs w:val="18"/>
          <w:color w:val="auto"/>
        </w:rPr>
        <w:t>Since our inception, we have primarily funded our operations through the sale of shares of our convertible preferred stock, the proceeds from research collaborations and license agreements and through the sale of our common stock in our IPO and concurrent private placement completed in May 2026. We have not generated any revenue from product sales and have incurred significant annual operating losses and negative cash flows from our operations. We expect to incur significant expenses and operating losses in the foreseeable future as we advance the development of our product candidates. As of March 31, 2026, we had $175.7 million in cash, cash equivalents and marketable securities and an accumulated deficit of $606.4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Prior to the completion of our IPO and concurrent private placement in May 2026, we raised aggregate gross proceeds of approximately</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$726.5 million from the sale of our securities. In May 2026, we raised aggregate net proceeds of $278.7 million upon completion of our IPO and concurrent private placement, after deducting underwriter discounts and commissions, placement agent fees and other estimated offering expenses. Additionally, in June 2026, we raised aggregate net proceeds of $10.0 million upon the sale of our common stock pursuant to the underwriters' exercise of their option to purchase shares, after deducting underwriter discounts and commissions.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March 31, 2026, we had cash and cash equivalents, and marketable securities of $175.7 million. Based upon our current operating plans, we believe that the net proceeds from our IPO and concurrent private placement completed in May 2026, together with our cash, cash equivalents and investments as of March 31, 2026, will be sufficient to fund our operations into the second half of 2028. We have based this estimate on assumptions that may prove to be wrong, and we could exhaust our available capital resources sooner than we expect.</w:t>
      </w:r>
    </w:p>
    <w:p>
      <w:pPr>
        <w:spacing w:after="0" w:line="176"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incur costs associated with our efforts to discover new targets and engage in future collaborations, and the potential commercialization of our product candidates, if approved.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financing to fund our continuing operations, which consist primarily of research and development expenditures related to our discovery programs and general and administrative expenditures. Cash used to fund operating expenses is impacted by the timing of when we pay these expenses, as reflected in the change in our outstanding accounts payable, accrued expenses and other current liabilities and prepaid expenses.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5" w:name="page36"/>
    <w:bookmarkEnd w:id="35"/>
    <w:p>
      <w:pPr>
        <w:ind w:right="280" w:firstLine="636"/>
        <w:spacing w:after="0" w:line="271" w:lineRule="auto"/>
        <w:rPr>
          <w:sz w:val="20"/>
          <w:szCs w:val="20"/>
          <w:color w:val="auto"/>
        </w:rPr>
      </w:pPr>
      <w:r>
        <w:rPr>
          <w:rFonts w:ascii="Arial" w:cs="Arial" w:eastAsia="Arial" w:hAnsi="Arial"/>
          <w:sz w:val="18"/>
          <w:szCs w:val="18"/>
          <w:color w:val="auto"/>
        </w:rPr>
        <w:t>Our forecast of cash resources and planned operations involves risks and uncertainties, and the actual amount of expenses could vary materially as a result of a number of factors, including:</w:t>
      </w:r>
    </w:p>
    <w:p>
      <w:pPr>
        <w:spacing w:after="0" w:line="46" w:lineRule="exact"/>
        <w:rPr>
          <w:sz w:val="20"/>
          <w:szCs w:val="20"/>
          <w:color w:val="auto"/>
        </w:rPr>
      </w:pPr>
    </w:p>
    <w:p>
      <w:pPr>
        <w:ind w:left="900" w:right="10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drug discovery, preclinical development, laboratory testing and planned clinical trials for our current or future product candidates, including additional expenses attributable to adjusting our development plans;</w:t>
      </w:r>
    </w:p>
    <w:p>
      <w:pPr>
        <w:spacing w:after="0" w:line="46" w:lineRule="exact"/>
        <w:rPr>
          <w:rFonts w:ascii="Times New Roman" w:cs="Times New Roman" w:eastAsia="Times New Roman" w:hAnsi="Times New Roman"/>
          <w:sz w:val="18"/>
          <w:szCs w:val="18"/>
          <w:color w:val="auto"/>
        </w:rPr>
      </w:pPr>
    </w:p>
    <w:p>
      <w:pPr>
        <w:ind w:left="900" w:right="4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prioritization and number of our research and development programs and clinical trials required for regulatory approval of our current or future product candidates;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current or future product candidates;</w:t>
      </w:r>
    </w:p>
    <w:p>
      <w:pPr>
        <w:spacing w:after="0" w:line="11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or future product candidates;</w:t>
      </w:r>
    </w:p>
    <w:p>
      <w:pPr>
        <w:spacing w:after="0" w:line="116" w:lineRule="exact"/>
        <w:rPr>
          <w:rFonts w:ascii="Times New Roman" w:cs="Times New Roman" w:eastAsia="Times New Roman" w:hAnsi="Times New Roman"/>
          <w:sz w:val="18"/>
          <w:szCs w:val="18"/>
          <w:color w:val="auto"/>
        </w:rPr>
      </w:pPr>
    </w:p>
    <w:p>
      <w:pPr>
        <w:ind w:left="900" w:right="14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or maintain collaboration or license agreements and the achievement of milestones or occurrence of other developments that trigger payments under any existing or additional collaboration or license agreements;</w:t>
      </w:r>
    </w:p>
    <w:p>
      <w:pPr>
        <w:spacing w:after="0" w:line="46" w:lineRule="exact"/>
        <w:rPr>
          <w:rFonts w:ascii="Times New Roman" w:cs="Times New Roman" w:eastAsia="Times New Roman" w:hAnsi="Times New Roman"/>
          <w:sz w:val="18"/>
          <w:szCs w:val="18"/>
          <w:color w:val="auto"/>
        </w:rPr>
      </w:pPr>
    </w:p>
    <w:p>
      <w:pPr>
        <w:ind w:left="900" w:right="32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46" w:lineRule="exact"/>
        <w:rPr>
          <w:rFonts w:ascii="Times New Roman" w:cs="Times New Roman" w:eastAsia="Times New Roman" w:hAnsi="Times New Roman"/>
          <w:sz w:val="18"/>
          <w:szCs w:val="18"/>
          <w:color w:val="auto"/>
        </w:rPr>
      </w:pPr>
    </w:p>
    <w:p>
      <w:pPr>
        <w:ind w:left="900" w:right="34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continuing to invest in our drug discovery efforts and tools designed to identify novel targets and drugs;</w:t>
      </w:r>
    </w:p>
    <w:p>
      <w:pPr>
        <w:spacing w:after="0" w:line="116" w:lineRule="exact"/>
        <w:rPr>
          <w:rFonts w:ascii="Times New Roman" w:cs="Times New Roman" w:eastAsia="Times New Roman" w:hAnsi="Times New Roman"/>
          <w:sz w:val="18"/>
          <w:szCs w:val="18"/>
          <w:color w:val="auto"/>
        </w:rPr>
      </w:pPr>
    </w:p>
    <w:p>
      <w:pPr>
        <w:ind w:left="900" w:right="40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increase in the number of our employees or expansion of our physical facilities to support preclinical studies and clinical trials;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associated with being a public company;</w:t>
      </w:r>
    </w:p>
    <w:p>
      <w:pPr>
        <w:spacing w:after="0" w:line="116" w:lineRule="exact"/>
        <w:rPr>
          <w:rFonts w:ascii="Times New Roman" w:cs="Times New Roman" w:eastAsia="Times New Roman" w:hAnsi="Times New Roman"/>
          <w:sz w:val="18"/>
          <w:szCs w:val="18"/>
          <w:color w:val="auto"/>
        </w:rPr>
      </w:pPr>
    </w:p>
    <w:p>
      <w:pPr>
        <w:ind w:left="900" w:right="6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securing manufacturing arrangements for clinical and commercial production and establishing or contracting for sales and marketing capabilities, if we obtain regulatory clearances to market our current or future product candidates;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900" w:right="26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46" w:lineRule="exact"/>
        <w:rPr>
          <w:rFonts w:ascii="Times New Roman" w:cs="Times New Roman" w:eastAsia="Times New Roman" w:hAnsi="Times New Roman"/>
          <w:sz w:val="18"/>
          <w:szCs w:val="18"/>
          <w:color w:val="auto"/>
        </w:rPr>
      </w:pPr>
    </w:p>
    <w:p>
      <w:pPr>
        <w:ind w:left="900" w:right="24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46" w:lineRule="exact"/>
        <w:rPr>
          <w:rFonts w:ascii="Times New Roman" w:cs="Times New Roman" w:eastAsia="Times New Roman" w:hAnsi="Times New Roman"/>
          <w:sz w:val="18"/>
          <w:szCs w:val="18"/>
          <w:color w:val="auto"/>
        </w:rPr>
      </w:pPr>
    </w:p>
    <w:p>
      <w:pPr>
        <w:ind w:left="900" w:right="12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46" w:lineRule="exact"/>
        <w:rPr>
          <w:rFonts w:ascii="Times New Roman" w:cs="Times New Roman" w:eastAsia="Times New Roman" w:hAnsi="Times New Roman"/>
          <w:sz w:val="18"/>
          <w:szCs w:val="18"/>
          <w:color w:val="auto"/>
        </w:rPr>
      </w:pPr>
    </w:p>
    <w:p>
      <w:pPr>
        <w:ind w:left="900" w:right="14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 and</w:t>
      </w:r>
    </w:p>
    <w:p>
      <w:pPr>
        <w:spacing w:after="0" w:line="46" w:lineRule="exact"/>
        <w:rPr>
          <w:rFonts w:ascii="Times New Roman" w:cs="Times New Roman" w:eastAsia="Times New Roman" w:hAnsi="Times New Roman"/>
          <w:sz w:val="18"/>
          <w:szCs w:val="18"/>
          <w:color w:val="auto"/>
        </w:rPr>
      </w:pPr>
    </w:p>
    <w:p>
      <w:pPr>
        <w:ind w:left="900" w:right="220" w:hanging="248"/>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as well as other factors, including economic uncertainty and geopolitical tensions, which may exacerbate the magnitude of the factors discussed above.</w:t>
      </w:r>
    </w:p>
    <w:p>
      <w:pPr>
        <w:spacing w:after="0" w:line="154" w:lineRule="exact"/>
        <w:rPr>
          <w:sz w:val="20"/>
          <w:szCs w:val="20"/>
          <w:color w:val="auto"/>
        </w:rPr>
      </w:pPr>
    </w:p>
    <w:p>
      <w:pPr>
        <w:ind w:right="1060" w:firstLine="636"/>
        <w:spacing w:after="0" w:line="271" w:lineRule="auto"/>
        <w:rPr>
          <w:sz w:val="20"/>
          <w:szCs w:val="20"/>
          <w:color w:val="auto"/>
        </w:rPr>
      </w:pPr>
      <w:r>
        <w:rPr>
          <w:rFonts w:ascii="Arial" w:cs="Arial" w:eastAsia="Arial" w:hAnsi="Arial"/>
          <w:sz w:val="18"/>
          <w:szCs w:val="18"/>
          <w:color w:val="auto"/>
        </w:rPr>
        <w:t>Furthermore, our operating plans may change, and we may need additional funds to meet operational needs and capital requirements for clinical trials and other research and development expenditures.</w:t>
      </w:r>
    </w:p>
    <w:p>
      <w:pPr>
        <w:spacing w:after="0" w:line="15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through public or private equity or debt financings, collaborations, strategic alliances, and marketing, distribution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capital through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6" w:name="page37"/>
    <w:bookmarkEnd w:id="36"/>
    <w:p>
      <w:pPr>
        <w:ind w:right="120"/>
        <w:spacing w:after="0" w:line="242" w:lineRule="auto"/>
        <w:rPr>
          <w:sz w:val="20"/>
          <w:szCs w:val="20"/>
          <w:color w:val="auto"/>
        </w:rPr>
      </w:pPr>
      <w:r>
        <w:rPr>
          <w:rFonts w:ascii="Arial" w:cs="Arial" w:eastAsia="Arial" w:hAnsi="Arial"/>
          <w:sz w:val="18"/>
          <w:szCs w:val="18"/>
          <w:color w:val="auto"/>
        </w:rPr>
        <w:t>collaboration or licensing arrangements with third parties or other strategic transactions, we may have to relinquish rights to our intellectual property, discovery tools,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2026 and 2025</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primary sources and uses of cash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9"/>
              </w:rPr>
              <w:t>Three Months Ended March 31,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94"/>
              </w:rPr>
              <w:t>2025</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(41,035)</w:t>
            </w:r>
          </w:p>
        </w:tc>
        <w:tc>
          <w:tcPr>
            <w:tcW w:w="62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(38,621)</w:t>
            </w:r>
          </w:p>
        </w:tc>
        <w:tc>
          <w:tcPr>
            <w:tcW w:w="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34,802</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34,127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484</w:t>
            </w: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2"/>
        </w:trPr>
        <w:tc>
          <w:tcPr>
            <w:tcW w:w="6400" w:type="dxa"/>
            <w:vAlign w:val="bottom"/>
          </w:tcPr>
          <w:p>
            <w:pPr>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Decrease in cash, cash equivalents and restricted cash</w:t>
            </w:r>
          </w:p>
        </w:tc>
        <w:tc>
          <w:tcPr>
            <w:tcW w:w="2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(5,725)</w:t>
            </w:r>
          </w:p>
        </w:tc>
        <w:tc>
          <w:tcPr>
            <w:tcW w:w="620" w:type="dxa"/>
            <w:vAlign w:val="bottom"/>
            <w:gridSpan w:val="2"/>
            <w:shd w:val="clear" w:color="auto" w:fill="CFF0F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(4,225)</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ind w:left="660" w:right="280" w:hanging="652"/>
        <w:spacing w:after="0" w:line="249"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generally accepted accounting principles in the United States, or GAAP, we have eliminated the effect of foreign currency throughout our cash flow statement, except for its effect on our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10"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Net cash used in operating activities for the three months ended March 31, 2026 was $41.0 million, primarily consisting of our net loss of $ 38.3 million and net changes in operating assets and liabilities of $7.2 million, which were partially offset by adjustments to reconcile net loss to net cash used in operating activities of $4.5 million.</w:t>
      </w:r>
    </w:p>
    <w:p>
      <w:pPr>
        <w:spacing w:after="0" w:line="169"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Net cash used in operating activities for the three months ended March 31, 2025 was $38.6 million, primarily consisting of our net loss of $ 38.4 million and net changes in operating assets and liabilities of $5.3 million, which were partially offset by adjustments to reconcile net loss to net cash used in operating activities of $5.1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ind w:right="640" w:firstLine="636"/>
        <w:spacing w:after="0" w:line="271" w:lineRule="auto"/>
        <w:rPr>
          <w:sz w:val="20"/>
          <w:szCs w:val="20"/>
          <w:color w:val="auto"/>
        </w:rPr>
      </w:pPr>
      <w:r>
        <w:rPr>
          <w:rFonts w:ascii="Arial" w:cs="Arial" w:eastAsia="Arial" w:hAnsi="Arial"/>
          <w:sz w:val="18"/>
          <w:szCs w:val="18"/>
          <w:color w:val="auto"/>
        </w:rPr>
        <w:t>Net cash provided by investing activities for the three months ended March 31, 2026 was $34.8 million, primarily consisting of maturities of marketable securities of $35.0 million, and offset by purchases of property and equipment of $0.1 million.</w:t>
      </w:r>
    </w:p>
    <w:p>
      <w:pPr>
        <w:spacing w:after="0" w:line="154" w:lineRule="exact"/>
        <w:rPr>
          <w:sz w:val="20"/>
          <w:szCs w:val="20"/>
          <w:color w:val="auto"/>
        </w:rPr>
      </w:pPr>
    </w:p>
    <w:p>
      <w:pPr>
        <w:ind w:right="640" w:firstLine="636"/>
        <w:spacing w:after="0" w:line="253" w:lineRule="auto"/>
        <w:rPr>
          <w:sz w:val="20"/>
          <w:szCs w:val="20"/>
          <w:color w:val="auto"/>
        </w:rPr>
      </w:pPr>
      <w:r>
        <w:rPr>
          <w:rFonts w:ascii="Arial" w:cs="Arial" w:eastAsia="Arial" w:hAnsi="Arial"/>
          <w:sz w:val="18"/>
          <w:szCs w:val="18"/>
          <w:color w:val="auto"/>
        </w:rPr>
        <w:t>Net cash provided by investing activities for the three months ended March 31, 2025 was $34.1 million, primarily consisting of maturities of marketable securities of $35.0 million and proceeds from sale of property and equipment of $0.1 million, and offset by purchases of property and equipment of $0.9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Net cash provided by financing activities for the three months ended March 31, 2026 was $0.7 million, consisting of proceeds from the exercise of stock options.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7" w:name="page38"/>
    <w:bookmarkEnd w:id="37"/>
    <w:p>
      <w:pPr>
        <w:ind w:right="260" w:firstLine="636"/>
        <w:spacing w:after="0" w:line="271" w:lineRule="auto"/>
        <w:rPr>
          <w:sz w:val="20"/>
          <w:szCs w:val="20"/>
          <w:color w:val="auto"/>
        </w:rPr>
      </w:pPr>
      <w:r>
        <w:rPr>
          <w:rFonts w:ascii="Arial" w:cs="Arial" w:eastAsia="Arial" w:hAnsi="Arial"/>
          <w:sz w:val="18"/>
          <w:szCs w:val="18"/>
          <w:color w:val="auto"/>
        </w:rPr>
        <w:t>Net cash provided by financing activities for the three months ended March 31, 2025 was $0.2 million, consisting of proceeds from the exercise of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Collaboration Agreement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summary of the key terms for our material license and collaboration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Terray Collaboration</w:t>
      </w:r>
    </w:p>
    <w:p>
      <w:pPr>
        <w:spacing w:after="0" w:line="210"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In September 2024, we entered into a collaboration and license agreement, or the Terray Agreement, with Terray Therapeutics, Inc., or Terray, to discover, develop and commercialize or out-license products directed to IRF5. We and Terray have agreed to share all collaboration losses (generated in accordance with and subject to applicable budgets) and collaboration profits (including any payments received in connection with an out-licensing transaction) equally, beginning from the effective date of the Terray Agreement until the earlier of the date either party elects to opt-out, or the date the agreement expires or is terminated. The activities performed under the Terray Agreement are governed by a joint steering committee, made up of two employees designated by each party. No upfront payments were made upon the execution of the Terray Agreement and there have not been any payments made or received from the profit and loss share arrangement under the Terray Agreement as of March 31,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0" w:lineRule="exact"/>
        <w:rPr>
          <w:sz w:val="20"/>
          <w:szCs w:val="20"/>
          <w:color w:val="auto"/>
        </w:rPr>
      </w:pPr>
    </w:p>
    <w:p>
      <w:pPr>
        <w:ind w:right="20" w:firstLine="636"/>
        <w:spacing w:after="0" w:line="242" w:lineRule="auto"/>
        <w:rPr>
          <w:sz w:val="20"/>
          <w:szCs w:val="20"/>
          <w:color w:val="auto"/>
        </w:rPr>
      </w:pPr>
      <w:r>
        <w:rPr>
          <w:rFonts w:ascii="Arial" w:cs="Arial" w:eastAsia="Arial" w:hAnsi="Arial"/>
          <w:sz w:val="18"/>
          <w:szCs w:val="18"/>
          <w:color w:val="auto"/>
        </w:rPr>
        <w:t>In September 2021, we entered into an operating lease agreement for our corporate headquarters located in Boston, Massachusetts, expiring in September 2029. We are also party to several operating leases for office and lab space, as well as finance leases for certain lab equipment. As of March 31, 2026, our non-cancellable lease obligations were $31.4 million and $0.7 million under our operating and finance leases, respectively, of which $7.5 million and $0.2 million related to operating and finance leases, respectively, are due within the next 12 months. Refer to Note 9 to our condensed consolidated financial statements included elsewhere in this Quarterly Report for more information on our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and Other Obligations</w:t>
      </w:r>
    </w:p>
    <w:p>
      <w:pPr>
        <w:spacing w:after="0" w:line="210"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We enter into contracts in the normal course of business with CROs for clinical trials, with CMOs for clinical manufacturing supplies and with other vendors for preclinical studies, supplies and other products and services for operating purposes. These agreements generally provide for termination at the request of either party with 30 to 90 days’ prior written notice and, therefore, we believe that our non-cancellable obligations under these agreements are not material. We do not currently expect any of these agreements to be terminated and did not have any non-cancellable obligations under these agreements as of March 31, 2026.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IFM Acquisition Contingent Consideration</w:t>
      </w:r>
    </w:p>
    <w:p>
      <w:pPr>
        <w:spacing w:after="0" w:line="210" w:lineRule="exact"/>
        <w:rPr>
          <w:sz w:val="20"/>
          <w:szCs w:val="20"/>
          <w:color w:val="auto"/>
        </w:rPr>
      </w:pPr>
    </w:p>
    <w:p>
      <w:pPr>
        <w:ind w:right="220" w:firstLine="636"/>
        <w:spacing w:after="0"/>
        <w:rPr>
          <w:sz w:val="20"/>
          <w:szCs w:val="20"/>
          <w:color w:val="auto"/>
        </w:rPr>
      </w:pPr>
      <w:r>
        <w:rPr>
          <w:rFonts w:ascii="Arial" w:cs="Arial" w:eastAsia="Arial" w:hAnsi="Arial"/>
          <w:sz w:val="18"/>
          <w:szCs w:val="18"/>
          <w:color w:val="auto"/>
        </w:rPr>
        <w:t>On May 6, 2022, we acquired all of the membership interests in IFM, or the IFM Acquisition. The total purchase consideration was $3.1 million, which consisted of the following: (i) 81,240 shares of our non-voting common stock at closing, with the estimated fair value of $0.2 million, (ii) cash consideration of $0.9 million at closing, (iii) a deferred payment of $0.9 million, which was paid in June 2022 and (iv) contingent consideration in cash of up to $30.0 million, payable once for each of our NLR family pyrin domain containing 1 and melanoma differentiation-associated protein 5 programs upon the first achievement of certain development, commercial, regulatory and sales milestones related to each such program, the estimated fair value of which was determined to be $1.1 million on the acquisition date. As of March 31, 2026, no milestones had been achieved or were deemed probable to occur.</w:t>
      </w:r>
    </w:p>
    <w:p>
      <w:pPr>
        <w:spacing w:after="0" w:line="185" w:lineRule="exact"/>
        <w:rPr>
          <w:sz w:val="20"/>
          <w:szCs w:val="20"/>
          <w:color w:val="auto"/>
        </w:rPr>
      </w:pPr>
    </w:p>
    <w:p>
      <w:pPr>
        <w:ind w:right="780" w:firstLine="636"/>
        <w:spacing w:after="0" w:line="271" w:lineRule="auto"/>
        <w:rPr>
          <w:sz w:val="20"/>
          <w:szCs w:val="20"/>
          <w:color w:val="auto"/>
        </w:rPr>
      </w:pPr>
      <w:r>
        <w:rPr>
          <w:rFonts w:ascii="Arial" w:cs="Arial" w:eastAsia="Arial" w:hAnsi="Arial"/>
          <w:sz w:val="18"/>
          <w:szCs w:val="18"/>
          <w:color w:val="auto"/>
        </w:rPr>
        <w:t>See Note 5 and Note 14 to our condensed consolidated financial statements included elsewhere in this Quarterly Report for additional details.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Rahko Acquisition Contingent Consideration</w:t>
      </w:r>
    </w:p>
    <w:p>
      <w:pPr>
        <w:spacing w:after="0" w:line="21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On October 6, 2021, we entered into the Rahko Purchase Agreements to purchase all of the issued share capital of Rahko, or the Rahko Acquisition, in exchange for a combination of cash, shares of our capital stock and additional contingent consideration of up to approximately $ 30.0 million. The contingent consideration would become payable to the former shareholders of Rahko upon either: (i) the first occurrence of our total market capitalization equaling or exceeding $ 1.5 billion based on a five-day volume-weighted average price of our publicly traded shares following the first public offering or public listing of our shares pursuant to applicable registration requirements on the New York Stock Exchange, the Nasdaq Global Select Market, the Nasdaq Global Market, the stock exchanges of Toronto, London or any other recognized investment exchange, or (ii) an exit event such as (1) a transaction or series of transactions in which any person (or persons acting in concert), other than a person who immediately prior to such transaction owned more than a majority of our voting securities, acquires more than 50% of the combined voting power of our then outstanding voting securities, (2) our consolidation or merger with or into another entity unless our stockholders immediately prior to such transaction continue to own, directly or indirectly, a majority of the combined voting power of the outstanding voting securities of the combined company, or (3) the sale or disposition of all or substantially all of our assets, in each case for which the potential proceeds are equal to or greater than $1.5 billion.</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5 and 14 to our condensed consolidated financial statements included elsewhere in this Quarterly Report for additional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details.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we evaluate our estimates and judgments, including, but not limited to, those related to revenue recognition, accrued research and development costs, stock-based compensation expense, and determination of the fair value of contingent consideration.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186" w:lineRule="exact"/>
        <w:rPr>
          <w:sz w:val="20"/>
          <w:szCs w:val="20"/>
          <w:color w:val="auto"/>
        </w:rPr>
      </w:pPr>
    </w:p>
    <w:p>
      <w:pPr>
        <w:ind w:right="380" w:firstLine="449"/>
        <w:spacing w:after="0" w:line="271" w:lineRule="auto"/>
        <w:rPr>
          <w:sz w:val="20"/>
          <w:szCs w:val="20"/>
          <w:color w:val="auto"/>
        </w:rPr>
      </w:pPr>
      <w:r>
        <w:rPr>
          <w:rFonts w:ascii="Arial" w:cs="Arial" w:eastAsia="Arial" w:hAnsi="Arial"/>
          <w:sz w:val="18"/>
          <w:szCs w:val="18"/>
          <w:color w:val="auto"/>
        </w:rPr>
        <w:t>During the three months ended March 31, 2026, there were no material changes to our critical accounting estimates and significant accounting policies described in our IPO Prospectus.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right="800" w:firstLine="636"/>
        <w:spacing w:after="0" w:line="25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provided in Note 2 to our audited consolidated financial statements included in our IPO Prospectus and Note 2 to our condensed consolidated financial statements included elsewhere in this Quarterly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12"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We qualify as an “emerging growth company,” or an EGC, as defined in the JOBS Act and we may take advantage of certain exemptions from various disclosure and other requirements that are applicable to other public companies that are not EGCs, including (i) reduced disclosure about our executive compensation arrangements; (ii) not being required to hold advisory votes on executive compensation or to obtain stockholder approval of any golden parachute arrangements not previously approved; (iii) an exemption from the auditor attestation requirement in the assessment of our internal control over financial reporting pursuant to the Sarbanes-Oxley Act of 2002; and (iv) an exemption from compliance with the requirements of the PCAOB regarding the communication of critical audit matters in our auditor’s report on the financial statements. Section 107 of the JOBS Act provides that an EGC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EGC.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9" w:name="page40"/>
    <w:bookmarkEnd w:id="39"/>
    <w:p>
      <w:pPr>
        <w:ind w:firstLine="644"/>
        <w:spacing w:after="0" w:line="239"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EGC. We would cease to be an EGC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not to “opt out” of the extended transition period for new or revised accounting standards described above. As a result of these decisions,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83"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after our IPO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primary objectives of our investment activities are to ensure liquidity and to preserve capital. As of March 31, 2026, we had $0.1 million in interest bearing money market accounts with maturities of less than three months. As of March 31, 2026, we had $ 140.0 million in marketable securities. Our exposure to interest rate sensitivity is impacted by changes in the underlying bank interest rates. Our surplus cash has been invested in overnight cash sweeps, money market funds, U.S. Treasury bills and U.S. Treasury notes.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 As of March 31, 2026, we had no debt outstanding that is subject to interest rate variability. Therefore, we are not subject to interest rate risk related to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employees and our operations are currently predominately located in the United States and our expenses are generally denominated in U.S. dollars. However, we do have a small number of employees located in Germany and use research and development vendors outside of the United States. As such, our expenses are denominated in both U.S. dollars and foreign currencies. In addition, we translate the assets and liabilities of our foreign subsidiaries from their respective functional currencies to U.S. dollars at the appropriate rates as of the balance sheet date. Changes in the carrying value of these assets and liabilities attributable to fluctuations in rates are included in accumulated other comprehensive income (loss) on our condensed consolidated balance sheets. Income statement accounts are translated using the monthly average exchange rates during the year. Therefore, our operations are and will continue to be subject to fluctuations in foreign currency exchange rates. Foreign currency transaction gains and losses are included in other income (expense), net in the condensed consolidated statements of operations and comprehensive loss as incurred.</w:t>
      </w:r>
    </w:p>
    <w:p>
      <w:pPr>
        <w:spacing w:after="0" w:line="18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financial statements included elsewhere in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ind w:right="120"/>
        <w:spacing w:after="0"/>
        <w:rPr>
          <w:sz w:val="20"/>
          <w:szCs w:val="20"/>
          <w:color w:val="auto"/>
        </w:rPr>
      </w:pPr>
      <w:r>
        <w:rPr>
          <w:rFonts w:ascii="Arial" w:cs="Arial" w:eastAsia="Arial" w:hAnsi="Arial"/>
          <w:sz w:val="18"/>
          <w:szCs w:val="18"/>
          <w:i w:val="1"/>
          <w:iCs w:val="1"/>
          <w:color w:val="auto"/>
        </w:rPr>
        <w:t>An investment in our common stock involves a high degree of risk. In deciding whether to invest, you should carefully consider and read the following risk factors, as well as the financial and other information contained in this Quarterly Report, including in the section of this Quarterly Report titled “Management’s Discussion and Analysis of Financial Condition and Results of Operations” and in our condensed consolidated financial statements and related notes included elsewhere in this Quarterly Report. Any of the following risks could have a material adverse effect on our business, financial condition, results of operations or prospects and cause the value of our stock to decline, which could cause you to lose all or part of your investment. Additional risks and uncertainties of which we are unaware, or that we currently deem immaterial, also may become important factors that affect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Limited Operating History and Financial Position</w:t>
      </w:r>
    </w:p>
    <w:p>
      <w:pPr>
        <w:spacing w:after="0" w:line="214" w:lineRule="exact"/>
        <w:rPr>
          <w:sz w:val="20"/>
          <w:szCs w:val="20"/>
          <w:color w:val="auto"/>
        </w:rPr>
      </w:pPr>
    </w:p>
    <w:p>
      <w:pPr>
        <w:jc w:val="both"/>
        <w:ind w:right="280"/>
        <w:spacing w:after="0" w:line="309" w:lineRule="auto"/>
        <w:rPr>
          <w:sz w:val="20"/>
          <w:szCs w:val="20"/>
          <w:color w:val="auto"/>
        </w:rPr>
      </w:pPr>
      <w:r>
        <w:rPr>
          <w:rFonts w:ascii="Arial" w:cs="Arial" w:eastAsia="Arial" w:hAnsi="Arial"/>
          <w:sz w:val="17"/>
          <w:szCs w:val="17"/>
          <w:b w:val="1"/>
          <w:bCs w:val="1"/>
          <w:i w:val="1"/>
          <w:iCs w:val="1"/>
          <w:color w:val="auto"/>
        </w:rPr>
        <w:t>We are a clinical-stage biotechnology company with a limited operating history and a history of incurring substantial net losses, have no products approved for commercial sale, have never generated revenue from product sales and may never be profitable.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are a clinical-stage biotechnology company with a limited operating history. We were formed in April 2021 and have devoted substantially all of our resources since that time to research and development activities for our product candidates, including OD-001 and OD-002, and our other development programs, recruiting management and technical staff, raising capital, producing materials for preclinical studies and clinical trials, developing and establishing our intellectual property portfolio, developing our research and development tools and technologies, entering into collaboration agreements, acquiring companies or assets to further our development programs and building infrastructure to support such activities. Our most advanced product candidate, OD-001, is in an ongoing phase 2a trial with other trials planned to commence in the second half of 2026, and all of our other product candidates remain in preclinical or non-clinical development.</w:t>
      </w:r>
    </w:p>
    <w:p>
      <w:pPr>
        <w:spacing w:after="0" w:line="185"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We continue to incur significant research and development and other expenses related to our ongoing operations. The success of our business depends primarily upon our ability to identify, develop and commercialize our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products approved for sale and have not generated any revenue from product sales or royalties to date. We do not know whether we will be able to develop any product candidates that succeed through preclinical and clinical development or products of commercial value. All of our historical revenue was generated from certain collaboration agreements we had entered into. We do not expect to generate product revenues unless and until we obtain marketing approval for a product candidate. Consequently, it may be more difficult to evaluate our business and predictions about our future success and viability may not be as accurate as they could be if we had a longer operating history. Investing in biotechnology product development is highly speculative because of the significant risk that, despite significant investment, any potential product candidate will fail to demonstrate adequate effect or an acceptable safety profile, gain regulatory approval and become commercially viable.</w:t>
      </w:r>
    </w:p>
    <w:p>
      <w:pPr>
        <w:spacing w:after="0" w:line="18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have incurred net losses since our inception through March 31, 2026. Net losses and negative cash flows have had, and will continue to have, an adverse effect on our stockholders’ equity and working capital. For the three months ended March 31, 2026 and 2025, we reported a net loss of $ 38.3 million and $38.4 million, respectively. As of March 31, 2026, we had an accumulated deficit of $606.4 million. We expect to continue to incur significant losses for the foreseeable future, and we expect these losses to increase as we continue research and development efforts for our product candidates, advance our product candidates through preclinical studies and clinical trials and seek regulatory approvals for our product candidates.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We anticipate that our expenses will increase substantially as we:</w:t>
      </w:r>
    </w:p>
    <w:p>
      <w:pPr>
        <w:spacing w:after="0" w:line="212"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progress the development of our product candidates, including our two most advanced programs: OD-001 and OD-002;</w:t>
      </w:r>
    </w:p>
    <w:p>
      <w:pPr>
        <w:spacing w:after="0" w:line="116" w:lineRule="exact"/>
        <w:rPr>
          <w:rFonts w:ascii="Times New Roman" w:cs="Times New Roman" w:eastAsia="Times New Roman" w:hAnsi="Times New Roman"/>
          <w:sz w:val="18"/>
          <w:szCs w:val="18"/>
          <w:color w:val="auto"/>
        </w:rPr>
      </w:pPr>
    </w:p>
    <w:p>
      <w:pPr>
        <w:ind w:left="260" w:right="340" w:hanging="252"/>
        <w:spacing w:after="0" w:line="252" w:lineRule="auto"/>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w:t>
      </w:r>
    </w:p>
    <w:p>
      <w:pPr>
        <w:spacing w:after="0" w:line="6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and expand the manufacturing of preclinical and clinical supply of our current and future product candidates;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current product candidates or any future product candidates;</w:t>
      </w:r>
    </w:p>
    <w:p>
      <w:pPr>
        <w:spacing w:after="0" w:line="116" w:lineRule="exact"/>
        <w:rPr>
          <w:rFonts w:ascii="Times New Roman" w:cs="Times New Roman" w:eastAsia="Times New Roman" w:hAnsi="Times New Roman"/>
          <w:sz w:val="18"/>
          <w:szCs w:val="18"/>
          <w:color w:val="auto"/>
        </w:rPr>
      </w:pPr>
    </w:p>
    <w:p>
      <w:pPr>
        <w:ind w:left="260" w:right="400" w:hanging="252"/>
        <w:spacing w:after="0" w:line="270" w:lineRule="auto"/>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manufacturing and distribution infrastructure to commercialize any product candidates for which we may obtain marketing approval, if any;</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qualified clinical, scientific, operations and management personnel;</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add and maintain operational, financial and information management systems;</w:t>
      </w:r>
    </w:p>
    <w:p>
      <w:pPr>
        <w:spacing w:after="0" w:line="116" w:lineRule="exact"/>
        <w:rPr>
          <w:rFonts w:ascii="Times New Roman" w:cs="Times New Roman" w:eastAsia="Times New Roman" w:hAnsi="Times New Roman"/>
          <w:sz w:val="18"/>
          <w:szCs w:val="18"/>
          <w:color w:val="auto"/>
        </w:rPr>
      </w:pPr>
    </w:p>
    <w:p>
      <w:pPr>
        <w:ind w:left="260" w:right="520" w:hanging="252"/>
        <w:spacing w:after="0" w:line="270" w:lineRule="auto"/>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protect, maintain, enforce and expand our rights in our intellectual property portfolio or acquire or in-license intellectual property and technologies from third parties;</w:t>
      </w:r>
    </w:p>
    <w:p>
      <w:pPr>
        <w:spacing w:after="0" w:line="46" w:lineRule="exact"/>
        <w:rPr>
          <w:rFonts w:ascii="Times New Roman" w:cs="Times New Roman" w:eastAsia="Times New Roman" w:hAnsi="Times New Roman"/>
          <w:sz w:val="18"/>
          <w:szCs w:val="18"/>
          <w:color w:val="auto"/>
        </w:rPr>
      </w:pPr>
    </w:p>
    <w:p>
      <w:pPr>
        <w:ind w:left="260" w:right="20" w:hanging="252"/>
        <w:spacing w:after="0" w:line="270" w:lineRule="auto"/>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in our preclinical studies or clinical trials and regulatory approval for our product candidates, including as a result of macroeconomic conditions, geopolitical conflicts or other factors; and</w:t>
      </w:r>
    </w:p>
    <w:p>
      <w:pPr>
        <w:spacing w:after="0" w:line="46" w:lineRule="exact"/>
        <w:rPr>
          <w:rFonts w:ascii="Times New Roman" w:cs="Times New Roman" w:eastAsia="Times New Roman" w:hAnsi="Times New Roman"/>
          <w:sz w:val="18"/>
          <w:szCs w:val="18"/>
          <w:color w:val="auto"/>
        </w:rPr>
      </w:pPr>
    </w:p>
    <w:p>
      <w:pPr>
        <w:ind w:left="260" w:right="240" w:hanging="252"/>
        <w:spacing w:after="0" w:line="270" w:lineRule="auto"/>
        <w:tabs>
          <w:tab w:leader="none" w:pos="2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costs associated with operating as a public company.</w:t>
      </w:r>
    </w:p>
    <w:p>
      <w:pPr>
        <w:spacing w:after="0" w:line="15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To become and remain profitable, we must develop and, either directly or through collaborators,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not succeed in any or all of these activities and, even if we do, we may not generate revenue that is significant or large enough to achieve profitability. If we do achieve profitability, we may not be able to sustain or increase profitability on a quarterly or annual basis. Our failure to become and remain profitable would decrease our value and the price of our common stock, and could impair our ability to raise capital, maintain our research and development efforts, expand our business or continue our operations. A decline in the value of our common stock also could cause you to lose all or part of your investment.</w:t>
      </w:r>
    </w:p>
    <w:p>
      <w:pPr>
        <w:spacing w:after="0" w:line="18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financial condition, results of operations and prospects. The size of our future net losses will depend, in part, on the rate of future growth of our expenses and our ability to generate revenue. Our prior losses and expected future losses have had and will continue to have an adverse effect on our stockholders’ deficit and working capital.</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5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a time-consuming, expensive and uncertain process that takes years to complete. Our operations have consumed substantial amounts of cash since our inception. We expect to continue spending substantial amounts of cash to advance our current and future preclinical and clinical development programs and seek regulatory approval for our product candidates.</w:t>
      </w:r>
    </w:p>
    <w:p>
      <w:pPr>
        <w:spacing w:after="0" w:line="17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As of March 31, 2026, we had $175.7 million in cash, cash equivalents and marketable securities. We expect that the net proceeds from our IPO and the concurrent private placement, together with our existing cash, cash equivalents and short-term marketable securities will be sufficient to fund our operations into the second half of 2028. We have based this estimate on assumptions that may prove to be wrong, and we could utilize our available capital resources sooner than we expect. Additionally, because the design and outcome of our planned and anticipated preclinical studies and clinical trials are highly uncertain, we cannot reasonably estimate the actual amounts necessary to successfully complete the development and commercialization of any product candidate.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212" w:lineRule="exact"/>
        <w:rPr>
          <w:sz w:val="20"/>
          <w:szCs w:val="20"/>
          <w:color w:val="auto"/>
        </w:rPr>
      </w:pPr>
    </w:p>
    <w:p>
      <w:pPr>
        <w:ind w:left="260" w:right="44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drug discovery, preclinical development, laboratory testing and planned clinical trials for our current or future product candidates, including additional expenses attributable to adjusting our development plans;</w:t>
      </w:r>
    </w:p>
    <w:p>
      <w:pPr>
        <w:spacing w:after="0" w:line="46" w:lineRule="exact"/>
        <w:rPr>
          <w:rFonts w:ascii="Times New Roman" w:cs="Times New Roman" w:eastAsia="Times New Roman" w:hAnsi="Times New Roman"/>
          <w:sz w:val="18"/>
          <w:szCs w:val="18"/>
          <w:color w:val="auto"/>
        </w:rPr>
      </w:pPr>
    </w:p>
    <w:p>
      <w:pPr>
        <w:ind w:left="260" w:right="18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prioritization and number of our research and development programs and clinical trials required for regulatory approval of our current or future product candidates;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current or future product candidates;</w:t>
      </w:r>
    </w:p>
    <w:p>
      <w:pPr>
        <w:spacing w:after="0" w:line="116" w:lineRule="exact"/>
        <w:rPr>
          <w:rFonts w:ascii="Times New Roman" w:cs="Times New Roman" w:eastAsia="Times New Roman" w:hAnsi="Times New Roman"/>
          <w:sz w:val="18"/>
          <w:szCs w:val="18"/>
          <w:color w:val="auto"/>
        </w:rPr>
      </w:pPr>
    </w:p>
    <w:p>
      <w:pPr>
        <w:ind w:left="260" w:right="78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or maintain collaboration or license agreements and the achievement of milestones or occurrence of other developments that trigger payments under any existing or additional collaboration or license agreements;</w:t>
      </w:r>
    </w:p>
    <w:p>
      <w:pPr>
        <w:spacing w:after="0" w:line="46" w:lineRule="exact"/>
        <w:rPr>
          <w:rFonts w:ascii="Times New Roman" w:cs="Times New Roman" w:eastAsia="Times New Roman" w:hAnsi="Times New Roman"/>
          <w:sz w:val="18"/>
          <w:szCs w:val="18"/>
          <w:color w:val="auto"/>
        </w:rPr>
      </w:pPr>
    </w:p>
    <w:p>
      <w:pPr>
        <w:ind w:left="260" w:right="12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milestones, royalties or other payments due in connection with acquisitions and licenses;</w:t>
      </w:r>
    </w:p>
    <w:p>
      <w:pPr>
        <w:spacing w:after="0" w:line="46" w:lineRule="exact"/>
        <w:rPr>
          <w:rFonts w:ascii="Times New Roman" w:cs="Times New Roman" w:eastAsia="Times New Roman" w:hAnsi="Times New Roman"/>
          <w:sz w:val="18"/>
          <w:szCs w:val="18"/>
          <w:color w:val="auto"/>
        </w:rPr>
      </w:pPr>
    </w:p>
    <w:p>
      <w:pPr>
        <w:ind w:left="260" w:right="14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continuing to invest in our suite of tools and drug discovery efforts to identify novel targets and drugs;</w:t>
      </w:r>
    </w:p>
    <w:p>
      <w:pPr>
        <w:spacing w:after="0" w:line="116" w:lineRule="exact"/>
        <w:rPr>
          <w:rFonts w:ascii="Times New Roman" w:cs="Times New Roman" w:eastAsia="Times New Roman" w:hAnsi="Times New Roman"/>
          <w:sz w:val="18"/>
          <w:szCs w:val="18"/>
          <w:color w:val="auto"/>
        </w:rPr>
      </w:pPr>
    </w:p>
    <w:p>
      <w:pPr>
        <w:ind w:left="260" w:right="44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increase in the number of our employees or expansion of our physical facilities to support preclinical studies and clinical trials;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being a public company;</w:t>
      </w:r>
    </w:p>
    <w:p>
      <w:pPr>
        <w:spacing w:after="0" w:line="116" w:lineRule="exact"/>
        <w:rPr>
          <w:rFonts w:ascii="Times New Roman" w:cs="Times New Roman" w:eastAsia="Times New Roman" w:hAnsi="Times New Roman"/>
          <w:sz w:val="18"/>
          <w:szCs w:val="18"/>
          <w:color w:val="auto"/>
        </w:rPr>
      </w:pPr>
    </w:p>
    <w:p>
      <w:pPr>
        <w:jc w:val="both"/>
        <w:ind w:left="260" w:right="420" w:hanging="252"/>
        <w:spacing w:after="0" w:line="252"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securing manufacturing arrangements for clinical and commercial production and establishing or contracting for sales and marketing capabilities, if we obtain regulatory clearances to market our current or future product candidates, including the cost of any third-party products used as combination agents in our clinical trials;</w:t>
      </w:r>
    </w:p>
    <w:p>
      <w:pPr>
        <w:spacing w:after="0" w:line="6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26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marketing, sales and distribution, for any of our product candidates for which we receive marketing approval;</w:t>
      </w:r>
    </w:p>
    <w:p>
      <w:pPr>
        <w:spacing w:after="0" w:line="46" w:lineRule="exact"/>
        <w:rPr>
          <w:rFonts w:ascii="Times New Roman" w:cs="Times New Roman" w:eastAsia="Times New Roman" w:hAnsi="Times New Roman"/>
          <w:sz w:val="18"/>
          <w:szCs w:val="18"/>
          <w:color w:val="auto"/>
        </w:rPr>
      </w:pPr>
    </w:p>
    <w:p>
      <w:pPr>
        <w:ind w:left="260" w:right="26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46" w:lineRule="exact"/>
        <w:rPr>
          <w:rFonts w:ascii="Times New Roman" w:cs="Times New Roman" w:eastAsia="Times New Roman" w:hAnsi="Times New Roman"/>
          <w:sz w:val="18"/>
          <w:szCs w:val="18"/>
          <w:color w:val="auto"/>
        </w:rPr>
      </w:pPr>
    </w:p>
    <w:p>
      <w:pPr>
        <w:ind w:left="260" w:right="16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46" w:lineRule="exact"/>
        <w:rPr>
          <w:rFonts w:ascii="Times New Roman" w:cs="Times New Roman" w:eastAsia="Times New Roman" w:hAnsi="Times New Roman"/>
          <w:sz w:val="18"/>
          <w:szCs w:val="18"/>
          <w:color w:val="auto"/>
        </w:rPr>
      </w:pPr>
    </w:p>
    <w:p>
      <w:pPr>
        <w:ind w:left="260" w:right="26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patients’ willingness to pay out-of-pocket for any approved products in the absence of coverage or adequate reimbursement from third-party payors; and</w:t>
      </w:r>
    </w:p>
    <w:p>
      <w:pPr>
        <w:spacing w:after="0" w:line="46" w:lineRule="exact"/>
        <w:rPr>
          <w:rFonts w:ascii="Times New Roman" w:cs="Times New Roman" w:eastAsia="Times New Roman" w:hAnsi="Times New Roman"/>
          <w:sz w:val="18"/>
          <w:szCs w:val="18"/>
          <w:color w:val="auto"/>
        </w:rPr>
      </w:pPr>
    </w:p>
    <w:p>
      <w:pPr>
        <w:ind w:left="260" w:right="560" w:hanging="252"/>
        <w:spacing w:after="0" w:line="270" w:lineRule="auto"/>
        <w:tabs>
          <w:tab w:leader="none" w:pos="2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as well as other factors, including economic uncertainty and geopolitical tensions, which may exacerbate the magnitude of the factors discussed above.</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Until such time as we can generate significant revenue from sales of our product candidates, if ever, we will be required to obtain further funding through public or private equity offerings, debt financings, collaborations and licensing arrangements or other sources. Adequate additional financing may not be available to us on acceptable terms, or at all. Our failure to raise capital as and when needed or on acceptable terms would have a negative impact on our financial condition and our ability to pursue our business strategy. As a result, we may have to delay, reduce the scope of, suspend or eliminate one or more of our research-stage programs, clinical trials or future commercialization efforts.</w:t>
      </w:r>
    </w:p>
    <w:p>
      <w:pPr>
        <w:spacing w:after="0" w:line="181"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13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Even if we believe that we will have sufficient funds for our current or future operating plans, we may seek additional capital if market conditions are favorable or if there are specific strategic considerations for doing so. To the extent that we raise such additional capital through the sale of equity or convertible debt securities, our stockholders’ ownership interest will be diluted and the terms of such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44" w:name="page45"/>
    <w:bookmarkEnd w:id="44"/>
    <w:p>
      <w:pPr>
        <w:ind w:right="140"/>
        <w:spacing w:after="0" w:line="253" w:lineRule="auto"/>
        <w:rPr>
          <w:sz w:val="20"/>
          <w:szCs w:val="20"/>
          <w:color w:val="auto"/>
        </w:rPr>
      </w:pPr>
      <w:r>
        <w:rPr>
          <w:rFonts w:ascii="Arial" w:cs="Arial" w:eastAsia="Arial" w:hAnsi="Arial"/>
          <w:sz w:val="18"/>
          <w:szCs w:val="18"/>
          <w:color w:val="auto"/>
        </w:rPr>
        <w:t>If we raise funds by entering into collaborations, strategic alliances or licensing arrangements with third parties, we may have to relinquish additional valuable rights to our technologies, future revenue streams, research programs or product candidates, or grant licenses on terms that may not be favorable to us, any of which may harm our business, financial condition, results of operations and prospects.</w:t>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Further,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financial condition, results of operations and prospects.</w:t>
      </w:r>
    </w:p>
    <w:p>
      <w:pPr>
        <w:spacing w:after="0" w:line="171"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b w:val="1"/>
          <w:bCs w:val="1"/>
          <w:i w:val="1"/>
          <w:iCs w:val="1"/>
          <w:color w:val="auto"/>
        </w:rPr>
        <w:t>Our business depends entirely on the success of our product candidates and development programs, including OD-001 and OD-002,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17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currently have no products approved for commercial sale or for which regulatory approval to market has been sought. We have invested the majority of our efforts and financial resources in the development of our product candidates and development programs, each of which is still in preclinical or clinical development, and expect that we will continue to invest heavily in the development of these product candidates, as well as in any future product candidates we may develop. Our business and our ability to generate revenue are substantially dependent on our ability to develop, obtain regulatory approval for and then successfully commercialize our product candidates, which may never occur.</w:t>
      </w:r>
    </w:p>
    <w:p>
      <w:pPr>
        <w:spacing w:after="0" w:line="16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product candidates and development programs will require substantial additional preclinical and clinical development time, regulatory approval, commercial manufacturing arrangements, the establishment of a commercial organization, significant marketing efforts and further investment before we can generate any revenue from product sales.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Even if our product candidates are successful in clinical trials, we will not be permitted to market or promote any of our product candidates until we receive regulatory approval from the U.S. Food and Drug Administration, or the FDA, or comparable foreign regulatory authorities, and we may never receive regulatory approval to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18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FDA or comparable foreign regulatory authorities may also consider their approvals of competing products concurrently with their review of our investigational new drug applications, or INDs, clinical trial applications, or CTAs, or other submissions. That review may lead to changes in the review requirements that had been previously communicated to us and our interpretation thereof, including changes to requirements for clinical data or clinical trial design. Such changes could delay approval or necessitate the withdrawal of our INDs, CTAs or other submissions.</w:t>
      </w:r>
    </w:p>
    <w:p>
      <w:pPr>
        <w:spacing w:after="0" w:line="17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If our product candidates are approved for marketing by applicable regulatory authorities, our ability to generate revenue from any approved products will depend on our ability to:</w:t>
      </w:r>
    </w:p>
    <w:p>
      <w:pPr>
        <w:spacing w:after="0" w:line="154"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spacing w:after="0" w:line="116" w:lineRule="exact"/>
        <w:rPr>
          <w:rFonts w:ascii="Times New Roman" w:cs="Times New Roman" w:eastAsia="Times New Roman" w:hAnsi="Times New Roman"/>
          <w:sz w:val="18"/>
          <w:szCs w:val="18"/>
          <w:color w:val="auto"/>
        </w:rPr>
      </w:pPr>
    </w:p>
    <w:p>
      <w:pPr>
        <w:ind w:left="260" w:right="620" w:hanging="252"/>
        <w:spacing w:after="0" w:line="270" w:lineRule="auto"/>
        <w:tabs>
          <w:tab w:leader="none" w:pos="2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manufacture products through CMOs in sufficient quantities and at acceptable quality and manufacturing cost to meet commercial demand at launch and thereafter;</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price our products competitively such that third-party and government reimbursement supports broad product adoption;</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 the superiority of our products compared to the standard of care, as well as other therapies in development;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45" w:name="page46"/>
    <w:bookmarkEnd w:id="45"/>
    <w:p>
      <w:pPr>
        <w:ind w:left="260" w:right="320" w:hanging="252"/>
        <w:spacing w:after="0" w:line="270" w:lineRule="auto"/>
        <w:tabs>
          <w:tab w:leader="none" w:pos="2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create market demand for our products through our own marketing and sales activities, and any other arrangements to promote these products that we may otherwise establish;</w:t>
      </w:r>
    </w:p>
    <w:p>
      <w:pPr>
        <w:spacing w:after="0" w:line="46" w:lineRule="exact"/>
        <w:rPr>
          <w:rFonts w:ascii="Times New Roman" w:cs="Times New Roman" w:eastAsia="Times New Roman" w:hAnsi="Times New Roman"/>
          <w:sz w:val="18"/>
          <w:szCs w:val="18"/>
          <w:color w:val="auto"/>
        </w:rPr>
      </w:pPr>
    </w:p>
    <w:p>
      <w:pPr>
        <w:ind w:left="260" w:right="500" w:hanging="252"/>
        <w:spacing w:after="0" w:line="270" w:lineRule="auto"/>
        <w:tabs>
          <w:tab w:leader="none" w:pos="2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protect and enforce patent and other intellectual property rights and regulatory exclusivity for our products;</w:t>
      </w:r>
    </w:p>
    <w:p>
      <w:pPr>
        <w:spacing w:after="0" w:line="116" w:lineRule="exact"/>
        <w:rPr>
          <w:rFonts w:ascii="Times New Roman" w:cs="Times New Roman" w:eastAsia="Times New Roman" w:hAnsi="Times New Roman"/>
          <w:sz w:val="18"/>
          <w:szCs w:val="18"/>
          <w:color w:val="auto"/>
        </w:rPr>
      </w:pPr>
    </w:p>
    <w:p>
      <w:pPr>
        <w:ind w:left="260" w:right="160" w:hanging="252"/>
        <w:spacing w:after="0" w:line="270" w:lineRule="auto"/>
        <w:tabs>
          <w:tab w:leader="none" w:pos="2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healthcare professionals, patient advocacy groups and communication of healthcare economic information to payors and formularies;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achieve market acceptance of our products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260" w:right="300" w:hanging="252"/>
        <w:spacing w:after="0" w:line="270" w:lineRule="auto"/>
        <w:tabs>
          <w:tab w:leader="none" w:pos="2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 and</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ensure that our product will be used as directed and that additional unexpected safety risks will not arise.</w:t>
      </w:r>
    </w:p>
    <w:p>
      <w:pPr>
        <w:spacing w:after="0" w:line="22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an inability to obtain sufficient insurance coverage for those or other claims could adversely affect our business, financial condition, results of operations and prospects.</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we conduct preclinical studies and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an investigation by the FDA or comparable foreign regulatory authorities focused on the safety and efficacy of our current or future product candidates, our manufacturing processes and facilities or our marketing programs. Such an investigation may potentially result in a recall of our products or a more serious enforcement action, limitations on the approved indications for which the product may be used or suspension or withdrawal of approvals. Regardless of the merits or eventual outcome, product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products that we may develop and a decline in our stock price. We may need to obtain higher levels of product liability insurance for later stages of clinical development or marketing any of our product candidates. Any insurance we may obtain to cover product liability or other claims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or other claims that could adversely affect our business, financial condition, results of operations and prospects.</w:t>
      </w:r>
    </w:p>
    <w:p>
      <w:pPr>
        <w:spacing w:after="0" w:line="190"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retain and to continue to receive adequate attention from our key leaders, as well as on our ability to attract, retain and motivate qualified personnel.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highly dependent upon Gary D. Glick, Ph.D., our founder, President and Chief Executive Officer, and Jeffrey M. Leiden, M.D., Ph.D., the Chair of our board of directors, and losing the services of either of these individuals could delay or prevent the successful development of our product candidates, the initiation or completion of our preclinical studies and clinical trials or the commercialization of our product candidates. Dr. Glick’s employment agreement with us is terminable by him at will and, therefore, we may not be able to retain his services as expected. Dr. Leiden serves as a director and must be re-elected by our stockholders to continue serving on our board of directors. He may also resign from service as a director at any time. In addition, because we do not currently maintain “key person” life insurance on the lives of our executives or any of our employees, we may not have adequate compensation for the loss of the services of these individuals.</w:t>
      </w:r>
    </w:p>
    <w:p>
      <w:pPr>
        <w:spacing w:after="0" w:line="18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success also depends on our ability to continue to receive adequate attention from our key leaders as we execute on our growth strategy. For example, in addition to his services to Odyssey as CEO, Dr. Glick began serving as Executive Chair of Charm Therapeutics Limited, or Charm, a biotechnology company focused on developing a new generation of menin inhibitors for acute myeloid leukemia, in January 2022. While, to date, the amount of time Dr. Glick has devoted to Charm has not changed, Dr. Glick became interim CEO of Charm in June 2025. It is possible that, in the future,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46" w:name="page47"/>
    <w:bookmarkEnd w:id="46"/>
    <w:p>
      <w:pPr>
        <w:ind w:right="20"/>
        <w:spacing w:after="0" w:line="253" w:lineRule="auto"/>
        <w:rPr>
          <w:sz w:val="20"/>
          <w:szCs w:val="20"/>
          <w:color w:val="auto"/>
        </w:rPr>
      </w:pPr>
      <w:r>
        <w:rPr>
          <w:rFonts w:ascii="Arial" w:cs="Arial" w:eastAsia="Arial" w:hAnsi="Arial"/>
          <w:sz w:val="18"/>
          <w:szCs w:val="18"/>
          <w:color w:val="auto"/>
        </w:rPr>
        <w:t>unforeseen developments at Charm could require Dr. Glick to divert his attention for a period of time from his role at Odyssey in order to fulfill his responsibilities at Charm. None of our other key leaders currently has an outside role that we believe could detract from their ability to fulfill their ongoing responsibilities to us.</w:t>
      </w:r>
    </w:p>
    <w:p>
      <w:pPr>
        <w:spacing w:after="0" w:line="16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Finally, our success also depends in part on our continued ability to attract, retain and motivate highly qualified management and clinical and scientific personnel. We may not be successful in continuing to attract or retain qualified management and scientific and clinical personnel in the future due to the intense competition for qualified personnel among biopharmaceutical, biotechnology and other businesses and academic institutions, particularly in the greater Boston area.</w:t>
      </w:r>
    </w:p>
    <w:p>
      <w:pPr>
        <w:spacing w:after="0" w:line="17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If we are not able to attract, integrate, retain and motivate necessary personnel to accomplish our business objectives, or if members of our team are required to devote substantial amounts of time to other professional responsibilities that limit their ability to devote necessary time to our affairs, we may experience constraints that significantly impede the achievement of our business objectives, our ability to raise additional capital and our ability to implement our business strategy.</w:t>
      </w:r>
    </w:p>
    <w:p>
      <w:pPr>
        <w:spacing w:after="0" w:line="17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will need to grow our organization, and we may experience difficulties in managing our growth and expanding our operations, which could adversely affect our business, financial condition, results of operations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we had 100 full-time employees. As our development and commercialization plans and strategies progress, and as we transition into operating as a public company, we expect to expand our employee base for managerial, operational, financial and other resources. In addition,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p>
    <w:p>
      <w:pPr>
        <w:spacing w:after="0" w:line="182"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adversely affect our business, financial condition, results of operations and prospects.</w:t>
      </w:r>
    </w:p>
    <w:p>
      <w:pPr>
        <w:spacing w:after="0" w:line="15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exposed to the risk of fraud or other misconduct by our employees, contractors and partners. Misconduct by these parties could include failures to comply with FDA regulations or comparable foreign regulations, to provide accurate information to the FDA or comparable foreign regulatory authorities, to comply with federal, state or foreign healthcare fraud and abuse laws and regulations, to report financial information or data timely,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p>
    <w:p>
      <w:pPr>
        <w:spacing w:after="0" w:line="18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the normal course of business, we periodically enter into commercial, service, collaboration, licensing, consulting and other agreements that contain indemnification provisions. With respect to our commercial agreements, we sometimes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7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our obligations under an indemnification provision exceed or do not qualify for applicable insurance coverage or if we were denied insurance coverage, our business, financial condition, results of operations and prospects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results of operations and prospects could be adversely affected.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47" w:name="page48"/>
    <w:bookmarkEnd w:id="47"/>
    <w:p>
      <w:pPr>
        <w:ind w:right="120"/>
        <w:spacing w:after="0" w:line="256" w:lineRule="auto"/>
        <w:rPr>
          <w:sz w:val="20"/>
          <w:szCs w:val="20"/>
          <w:color w:val="auto"/>
        </w:rPr>
      </w:pPr>
      <w:r>
        <w:rPr>
          <w:rFonts w:ascii="Arial" w:cs="Arial" w:eastAsia="Arial" w:hAnsi="Arial"/>
          <w:sz w:val="18"/>
          <w:szCs w:val="18"/>
          <w:b w:val="1"/>
          <w:bCs w:val="1"/>
          <w:i w:val="1"/>
          <w:iCs w:val="1"/>
          <w:color w:val="auto"/>
        </w:rPr>
        <w:t>We may be required to make contingent or deferred payments to collaborators or in connection with acquisitions and in-licenses of technology. Such payments may have an adverse impact on our business, financial condition, results of operations and prospects.</w:t>
      </w:r>
    </w:p>
    <w:p>
      <w:pPr>
        <w:spacing w:after="0" w:line="1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have entered into, and may in the future enter into, collaborations, acquisitions and in-licensing arrangements that contemplate contingent or deferred payments. In the event we are deemed to have achieved certain milestones in connection with such contingent or deferred payments, we may be required to pay such amounts in full or in part. For example, if certain contingencies are satisfied, we may be required to make a payment of up to $ 30.0 million to the former shareholders of Rahko Limited, or Rahko, a company we acquired in 2021. Additionally, upon the achievement of certain development, commercial, regulatory and sales milestones for each of our NLRP1 and MDA5 programs, we may be required to pay up to $30.0 million in contingent payments once for each such program to the former members of IFM Discovery, LLC, or IFM, a company we acquired in 2022. See the section of this Quarterly Report titled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Operations—Contractual Obligations and Commitments</w:t>
      </w:r>
      <w:r>
        <w:rPr>
          <w:rFonts w:ascii="Arial" w:cs="Arial" w:eastAsia="Arial" w:hAnsi="Arial"/>
          <w:sz w:val="18"/>
          <w:szCs w:val="18"/>
          <w:color w:val="auto"/>
        </w:rPr>
        <w:t>” for additional information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deferred consideration obligations. Contingent or deferred payments may have an adverse impact on our business, financial condition, results of operations and prospects.</w:t>
      </w:r>
    </w:p>
    <w:p>
      <w:pPr>
        <w:spacing w:after="0" w:line="182"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We may become subject to litigation, which could result in substantial costs and divert management’s attention and resources from our business.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From time to time, we may become involved in litigation or other legal proceedings relating to claims arising from the ordinary course of business or otherwise, including claims related to employment matters, security of patient and employee personal data, product liability, intellectual property rights and contractual relations with current or past collaborators or licensors. For example, we and the former shareholders of Rahko may disagree about whether our IPO satisfies the contractual prerequisites that would require us to make a substantial contingent consideration payment to them. In the event of a disagreement, the former Rahko shareholders could seek to recover for non-payment through litigation. See the section of this Quarterly Report 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Operations—Contractual Obligations and Commitments</w:t>
      </w:r>
      <w:r>
        <w:rPr>
          <w:rFonts w:ascii="Arial" w:cs="Arial" w:eastAsia="Arial" w:hAnsi="Arial"/>
          <w:sz w:val="18"/>
          <w:szCs w:val="18"/>
          <w:color w:val="auto"/>
        </w:rPr>
        <w:t>” for additional information regarding our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obligations. Any litigation we become party to could be costly and time-consuming and we cannot assure you that we would ultimately prevail. If we receive an adverse judgment in any litigation, we could be required to pay substantial damages that may not be covered by our insurance in full or at all. Expenses and damages relating to litigation can be difficult to predict. Regardless of its merit, litigation can be complex, extend for a protracted period of time, divert management’s attention and resources and be expensive. Litigation initiated by us could also result in counterclaims against us, which could increase the costs associated with the litigation and result in our payment of damages or other judgments against us.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9" w:right="439" w:bottom="1440" w:gutter="0" w:footer="0" w:header="0"/>
        </w:sectPr>
      </w:pPr>
    </w:p>
    <w:bookmarkStart w:id="48" w:name="page49"/>
    <w:bookmarkEnd w:id="48"/>
    <w:p>
      <w:pPr>
        <w:spacing w:after="0" w:line="278" w:lineRule="auto"/>
        <w:rPr>
          <w:sz w:val="20"/>
          <w:szCs w:val="20"/>
          <w:color w:val="auto"/>
        </w:rPr>
      </w:pPr>
      <w:r>
        <w:rPr>
          <w:rFonts w:ascii="Arial" w:cs="Arial" w:eastAsia="Arial" w:hAnsi="Arial"/>
          <w:sz w:val="18"/>
          <w:szCs w:val="18"/>
          <w:b w:val="1"/>
          <w:bCs w:val="1"/>
          <w:i w:val="1"/>
          <w:iCs w:val="1"/>
          <w:color w:val="auto"/>
        </w:rPr>
        <w:t>Our current operations are concentrated predominantly in two locations, and we or the third parties upon whom we depend may be adversely affected by natural or manmade disasters.</w:t>
      </w:r>
    </w:p>
    <w:p>
      <w:pPr>
        <w:spacing w:after="0" w:line="13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current operations are concentrated predominantly in Boston, Massachusetts and Ann Arbor, Michigan. Any unplanned event, such as a flood, explosion,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may have significant negative consequences on our financial condition, results of operations and prospects. Any similar impacts of natural or manmade disasters on our third-party CMOs, CROs, or other third parties on whom we rely could cause delays in our clinical trials and may have a material and adverse effect on our ability to operate our business and have significant negative consequences on our financial condition, results of operations and prospects. If any such natural or manmade accidents or incidents occurred and prevented us from using our clinical sites, impacted clinical supply or the conduct of our clinical trials, damaged critical infrastructure, such as the manufacturing facilities of our third-party CMOs,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19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b w:val="1"/>
          <w:bCs w:val="1"/>
          <w:i w:val="1"/>
          <w:iCs w:val="1"/>
          <w:color w:val="auto"/>
        </w:rPr>
        <w:t>Our artificial intelligence, or AI, and machine learning, or ML, platform leverages internal data as well as data from third parties. Defects in, or loss of access to, our databases or those of third parties may impair our ability to discover additional targets and develop our product candidates.</w:t>
      </w:r>
    </w:p>
    <w:p>
      <w:pPr>
        <w:spacing w:after="0" w:line="15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use our AI/ML platform to improve our target discovery programs by improving the hit finding and lead optimization process for our small-molecule product candidates. Our AI/ML platform accesses third-party databases. If access to this data is lost or limited, or if this data becomes outdated, it may delay or otherwise adversely affect our ability to develop our product candidates. Our competitors may render our approach obsolete, by advances in existing technological approaches or the development of new or different approaches, potentially eliminating the advantages in our drug discovery process that we believe we derive from our research approach and proprietary technologies.</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proprietary software tools and data sets are inherently complex and may contain defects or errors. Errors may result from the interface of our hardware or proprietary software tools with our data or third-party systems and data. The risk of errors is particularly significant when new software or hardware is first introduced or when new versions or enhancements of existing software or hardware are implemented. Any errors, defects, disruptions or other performance problems with our software, hardware or data sets could hurt our ability to gather valuable insights that we intend to use to assist in developing our current and future product candidates and drive our drug discoveries. We outsource all of the core network infrastructure relating to our AI/ML platform to third-party hosting services. We have limited control, if any, over any of these third parties, and we cannot guarantee that such third-party providers will not experience system interruptions, outages or delays or deterioration in their performance.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Furthermore, the development and use of AI/ML present various privacy and security risks that may impact our business. AI/ML are subject to privacy and data security laws, as well as increasing regulation and scrutiny. For example, several jurisdictions around the globe, including Europe and certain U.S. states, have proposed, enacted or are considering laws governing the development and use of AI/ML, such as the EU’s AI Act and the Colorado Artificial Intelligence Act.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or retrain our AI/ML or prevent or limit our use of AI/ML. For example,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9" w:right="359" w:bottom="1440" w:gutter="0" w:footer="0" w:header="0"/>
        </w:sectPr>
      </w:pPr>
    </w:p>
    <w:bookmarkStart w:id="49" w:name="page50"/>
    <w:bookmarkEnd w:id="49"/>
    <w:p>
      <w:pPr>
        <w:ind w:right="180"/>
        <w:spacing w:after="0" w:line="253" w:lineRule="auto"/>
        <w:rPr>
          <w:sz w:val="20"/>
          <w:szCs w:val="20"/>
          <w:color w:val="auto"/>
        </w:rPr>
      </w:pPr>
      <w:r>
        <w:rPr>
          <w:rFonts w:ascii="Arial" w:cs="Arial" w:eastAsia="Arial" w:hAnsi="Arial"/>
          <w:sz w:val="18"/>
          <w:szCs w:val="18"/>
          <w:color w:val="auto"/>
        </w:rPr>
        <w:t>Federal Trade Commission, or the FTC, has required other companies to turn over (or disgorge) valuable insights or trainings generated through the use of AI/ML where they allege the company has violated privacy and consumer protection laws. If we cannot use AI/ML or our use is restricted, our preclinical research and development programs may be less efficient, or we may be at a competitive disadvantage.</w:t>
      </w:r>
    </w:p>
    <w:p>
      <w:pPr>
        <w:spacing w:after="0" w:line="16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occurrence of any of these events could prevent us from leveraging our AI/ML capability and software to help us develop our product candidates more efficiently than existing industry tools and have a material adverse effect on our business, financial condition, results of operations or prospects.</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Unfavorable global economic conditions, including any adverse macroeconomic conditions or geopolitical events, could adversely affect our business, financial condition, results of operations or prospects.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The global credit and financial markets have experienced extreme volatility and disruptions in the past several years. A severe or prolonged economic downturn, or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on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continued market volatility or a general economic downturn could cause our stock price to decline.</w:t>
      </w:r>
    </w:p>
    <w:p>
      <w:pPr>
        <w:spacing w:after="0" w:line="18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If any of the banks that hold our cash deposits were to be placed into receivership, we may be unable to access our cash and cash equivalents and short-term marketable securities, which would adversely affect our business. In addition, if any of the third parties on whom we rely to conduct certain aspects of our preclinical studies or clinical trials are unable to access funds through certain financial institutions, such parties’ ability to fulfill their obligations to us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Research, Development and Commercialization</w:t>
      </w:r>
    </w:p>
    <w:p>
      <w:pPr>
        <w:spacing w:after="0" w:line="21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Our two most advanced product candidates are currently in a phase 2a clinical trial and IND-enabling studies, respectively. We have never successfully completed any large-scale or pivotal clinical trials with our product candidates, and we may be unable to do so for any product candidates we develop.</w:t>
      </w:r>
    </w:p>
    <w:p>
      <w:pPr>
        <w:spacing w:after="0" w:line="15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of the date of this Quarterly Report, we have only one product candidate in clinical development and our next most advanced product candidate is currently in IND-enabling studies. All of our other development programs are in the preclinical or drug discovery stage. Odyssey has not yet successfully completed any large-scale or pivotal clinical trials, obtained regulatory approvals, manufactured a commercial scale product (or arranged for a third party to do so on our behalf) or conducted sales and marketing activities necessary for successful commercialization of any of our product candidates. Odyssey’s experience conducting clinical trials with its product candidates is limited. Aside from OD-001, our product candidate currently in clinical development for the treatment of ulcerative colitis, or UC, all of our other development programs will need to progress through IND-enabling studies and receive authorization from the FDA or a comparable foreign regulatory authority to proceed under an IND, CTA or other submission prior to initiating clinical development. We may not be able to file INDs, CTAs or other submissions for any of our other product candidates on the timelines we expect, or at all. Even if we submit an IND, CTA or other submission for a product candidate, the FDA or a comparable foreign regulatory authority may not clear the IND, CTA or other submission and allow us to begin clinical trials in a timely manner or at all. The timing of submissions of INDs, CTAs or other submissions for our product candidates will be dependent on further preclinical and manufacturing success. Commencing each of these clinical trials is subject to finalizing the trial design based on discussions with the FDA and comparable foreign regulatory authorities. Any guidance we receive from the FDA or comparable foreign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50" w:name="page51"/>
    <w:bookmarkEnd w:id="50"/>
    <w:p>
      <w:pPr>
        <w:spacing w:after="0" w:line="25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69"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obtaining marketing approval for our product candidates;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not obtain marketing approval at all;</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post-marketing requirements; or</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have the product removed from the market after obtaining marketing approval.</w:t>
      </w:r>
    </w:p>
    <w:p>
      <w:pPr>
        <w:spacing w:after="0" w:line="2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w:t>
      </w:r>
    </w:p>
    <w:p>
      <w:pPr>
        <w:spacing w:after="0" w:line="15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All of our product candidates are either in preclinical development or, in the case of OD-001, in a phase 2a clinical trial. The risk that our product candidates fail to successfully proceed through clinical development is high. We expect it will be many years before we commercialize any product candidate, if ever. The product candidates we are developing are novel and unproven, which makes it difficult to accurately predict the challenges we may face with respect to our product candidates as they proceed through development. It is also impossible to predict whether our clinical trials will proceed through registrational trials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Commencing any future clinical trials is subject to finalizing the trial design and submitting an application to the FDA or a comparable foreign regulatory authority. Even after we make our submission, the FDA or comparable foreign regulatory authority could disagree that we have satisfied their requirements to commence our clinical trials or disagree with our trial design, which may require us to complete additional studies or trials, amend our protocols or impose stricter conditions on the commencement of clinical trials.</w:t>
      </w:r>
    </w:p>
    <w:p>
      <w:pPr>
        <w:spacing w:after="0" w:line="18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p>
    <w:p>
      <w:pPr>
        <w:spacing w:after="0" w:line="174" w:lineRule="exact"/>
        <w:rPr>
          <w:sz w:val="20"/>
          <w:szCs w:val="20"/>
          <w:color w:val="auto"/>
        </w:rPr>
      </w:pPr>
    </w:p>
    <w:p>
      <w:pPr>
        <w:ind w:left="260" w:right="40" w:hanging="252"/>
        <w:spacing w:after="0" w:line="246" w:lineRule="auto"/>
        <w:tabs>
          <w:tab w:leader="none" w:pos="2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such as the FDA or comparable foreign regulatory authorities,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w:t>
      </w:r>
    </w:p>
    <w:p>
      <w:pPr>
        <w:spacing w:after="0" w:line="68" w:lineRule="exact"/>
        <w:rPr>
          <w:rFonts w:ascii="Times New Roman" w:cs="Times New Roman" w:eastAsia="Times New Roman" w:hAnsi="Times New Roman"/>
          <w:sz w:val="18"/>
          <w:szCs w:val="18"/>
          <w:color w:val="auto"/>
        </w:rPr>
      </w:pPr>
    </w:p>
    <w:p>
      <w:pPr>
        <w:ind w:left="260" w:right="360" w:hanging="252"/>
        <w:spacing w:after="0" w:line="270" w:lineRule="auto"/>
        <w:tabs>
          <w:tab w:leader="none" w:pos="2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or failing to reach, agreement on acceptable terms with trial sites and CROs, the terms of which can be subject to extensive negotiation and may vary significantly;</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6" w:lineRule="exact"/>
        <w:rPr>
          <w:rFonts w:ascii="Times New Roman" w:cs="Times New Roman" w:eastAsia="Times New Roman" w:hAnsi="Times New Roman"/>
          <w:sz w:val="18"/>
          <w:szCs w:val="18"/>
          <w:color w:val="auto"/>
        </w:rPr>
      </w:pPr>
    </w:p>
    <w:p>
      <w:pPr>
        <w:ind w:left="260" w:right="160" w:hanging="252"/>
        <w:spacing w:after="0" w:line="270" w:lineRule="auto"/>
        <w:tabs>
          <w:tab w:leader="none" w:pos="2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46" w:lineRule="exact"/>
        <w:rPr>
          <w:rFonts w:ascii="Times New Roman" w:cs="Times New Roman" w:eastAsia="Times New Roman" w:hAnsi="Times New Roman"/>
          <w:sz w:val="18"/>
          <w:szCs w:val="18"/>
          <w:color w:val="auto"/>
        </w:rPr>
      </w:pPr>
    </w:p>
    <w:p>
      <w:pPr>
        <w:ind w:left="260" w:right="300" w:hanging="252"/>
        <w:spacing w:after="0" w:line="300" w:lineRule="auto"/>
        <w:tabs>
          <w:tab w:leader="none" w:pos="2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clinical trials may be greater than we anticipate or we may have insufficient funds for a clinical trial or to pay the substantial user fees required by the FDA upon the submission of a biologic license application, or BLA, or new drug application, or NDA;</w:t>
      </w:r>
    </w:p>
    <w:p>
      <w:pPr>
        <w:spacing w:after="0" w:line="23" w:lineRule="exact"/>
        <w:rPr>
          <w:rFonts w:ascii="Times New Roman" w:cs="Times New Roman" w:eastAsia="Times New Roman" w:hAnsi="Times New Roman"/>
          <w:sz w:val="17"/>
          <w:szCs w:val="17"/>
          <w:color w:val="auto"/>
        </w:rPr>
      </w:pPr>
    </w:p>
    <w:p>
      <w:pPr>
        <w:ind w:left="260" w:right="720" w:hanging="252"/>
        <w:spacing w:after="0" w:line="270" w:lineRule="auto"/>
        <w:tabs>
          <w:tab w:leader="none" w:pos="2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quality or quantity of data relating to our product candidates or other materials necessary to conduct our clinical trials may be inadequate to initiate or complete a given clinical trial;</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reports from clinical testing of other therapies may raise safety, tolerability or efficacy concerns about our product candidates; and</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7" w:right="399" w:bottom="1440" w:gutter="0" w:footer="0" w:header="0"/>
        </w:sectPr>
      </w:pPr>
    </w:p>
    <w:bookmarkStart w:id="51" w:name="page52"/>
    <w:bookmarkEnd w:id="51"/>
    <w:p>
      <w:pPr>
        <w:ind w:left="260" w:right="180" w:hanging="252"/>
        <w:spacing w:after="0" w:line="252" w:lineRule="auto"/>
        <w:tabs>
          <w:tab w:leader="none" w:pos="2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17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have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could also encounter delays if a clinical trial is suspended, put on clinical hold or terminated by us, the IRBs of the institutions where such trials are being conducted, the FDA or comparable foreign regulatory authorities, or if a clinical trial is recommended for suspension or termination by a data safety monitoring board or data monitoring committee, or DSMB, for such trial. A suspension or termination may be imposed due to a number of factors, including failure to conduct the clinical trial in accordance with regulatory requirements or our clinical protocols, failure by our CROs to perform in accordance with good clinical practices, or GCPs, or applicable regulatory guidelines in other countries, inspection of the clinical trial operations or trial site by the FDA or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the need to obtain agreement from multiple parties and may increase our future costs and expenses.</w:t>
      </w:r>
    </w:p>
    <w:p>
      <w:pPr>
        <w:spacing w:after="0" w:line="17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or obtain limited regulatory approval, our business will be substantially harmed.</w:t>
      </w:r>
    </w:p>
    <w:p>
      <w:pPr>
        <w:spacing w:after="0" w:line="15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All of our current product candidates and any future product candidates will be subject to extensive governmental regulations relating to research, testing, development, manufacturing, approval, recordkeeping, reporting, labeling, storage, packaging, advertising and promotion, pricing, post-approval monitoring, marketing, sale and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 -consuming,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discretion of the regulatory authorities. Odyssey has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or elsewhere until we receive regulatory approval of our product candidates through an NDA or BLA from the FDA or similar marketing application in another jurisdiction. The FDA and other comparable foreign regulatory authorities may delay, limit or deny approval of our product candidates for many reasons, including:</w:t>
      </w:r>
    </w:p>
    <w:p>
      <w:pPr>
        <w:spacing w:after="0" w:line="185" w:lineRule="exact"/>
        <w:rPr>
          <w:sz w:val="20"/>
          <w:szCs w:val="20"/>
          <w:color w:val="auto"/>
        </w:rPr>
      </w:pPr>
    </w:p>
    <w:p>
      <w:pPr>
        <w:ind w:left="260" w:right="620" w:hanging="252"/>
        <w:spacing w:after="0" w:line="270"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demonstrate to the satisfaction of the FDA or other comparable foreign regulatory authorities that any of our product candidates are safe and effective for any indication;</w:t>
      </w:r>
    </w:p>
    <w:p>
      <w:pPr>
        <w:spacing w:after="0" w:line="46" w:lineRule="exact"/>
        <w:rPr>
          <w:rFonts w:ascii="Times New Roman" w:cs="Times New Roman" w:eastAsia="Times New Roman" w:hAnsi="Times New Roman"/>
          <w:sz w:val="18"/>
          <w:szCs w:val="18"/>
          <w:color w:val="auto"/>
        </w:rPr>
      </w:pPr>
    </w:p>
    <w:p>
      <w:pPr>
        <w:ind w:left="260" w:right="440" w:hanging="252"/>
        <w:spacing w:after="0" w:line="270"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or comparable foreign regulatory authorities for approval;</w:t>
      </w:r>
    </w:p>
    <w:p>
      <w:pPr>
        <w:spacing w:after="0" w:line="46" w:lineRule="exact"/>
        <w:rPr>
          <w:rFonts w:ascii="Times New Roman" w:cs="Times New Roman" w:eastAsia="Times New Roman" w:hAnsi="Times New Roman"/>
          <w:sz w:val="18"/>
          <w:szCs w:val="18"/>
          <w:color w:val="auto"/>
        </w:rPr>
      </w:pPr>
    </w:p>
    <w:p>
      <w:pPr>
        <w:ind w:left="260" w:right="560" w:hanging="252"/>
        <w:spacing w:after="0" w:line="270"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number, design, size, conduct or implementation of our clinical trials;</w:t>
      </w:r>
    </w:p>
    <w:p>
      <w:pPr>
        <w:spacing w:after="0" w:line="46" w:lineRule="exact"/>
        <w:rPr>
          <w:rFonts w:ascii="Times New Roman" w:cs="Times New Roman" w:eastAsia="Times New Roman" w:hAnsi="Times New Roman"/>
          <w:sz w:val="18"/>
          <w:szCs w:val="18"/>
          <w:color w:val="auto"/>
        </w:rPr>
      </w:pPr>
    </w:p>
    <w:p>
      <w:pPr>
        <w:ind w:left="260" w:right="840" w:hanging="252"/>
        <w:spacing w:after="0" w:line="270"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not find the data from preclinical studies and clinical trials sufficient to demonstrate that the benefits of any of our product candidates outweigh their safety risks;</w:t>
      </w:r>
    </w:p>
    <w:p>
      <w:pPr>
        <w:spacing w:after="0" w:line="46" w:lineRule="exact"/>
        <w:rPr>
          <w:rFonts w:ascii="Times New Roman" w:cs="Times New Roman" w:eastAsia="Times New Roman" w:hAnsi="Times New Roman"/>
          <w:sz w:val="18"/>
          <w:szCs w:val="18"/>
          <w:color w:val="auto"/>
        </w:rPr>
      </w:pPr>
    </w:p>
    <w:p>
      <w:pPr>
        <w:ind w:left="260" w:right="120" w:hanging="252"/>
        <w:spacing w:after="0" w:line="270"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 or may not accept data generated at our clinical trial sites;</w:t>
      </w:r>
    </w:p>
    <w:p>
      <w:pPr>
        <w:spacing w:after="0" w:line="46" w:lineRule="exact"/>
        <w:rPr>
          <w:rFonts w:ascii="Times New Roman" w:cs="Times New Roman" w:eastAsia="Times New Roman" w:hAnsi="Times New Roman"/>
          <w:sz w:val="18"/>
          <w:szCs w:val="18"/>
          <w:color w:val="auto"/>
        </w:rPr>
      </w:pPr>
    </w:p>
    <w:p>
      <w:pPr>
        <w:ind w:left="260" w:right="840" w:hanging="252"/>
        <w:spacing w:after="0" w:line="270"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preclinical studies and clinical trials of any of our product candidates may not be sufficient to support the submission of an IND, CTA or other application for regulatory approval;</w:t>
      </w:r>
    </w:p>
    <w:p>
      <w:pPr>
        <w:spacing w:after="0" w:line="46" w:lineRule="exact"/>
        <w:rPr>
          <w:rFonts w:ascii="Times New Roman" w:cs="Times New Roman" w:eastAsia="Times New Roman" w:hAnsi="Times New Roman"/>
          <w:sz w:val="18"/>
          <w:szCs w:val="18"/>
          <w:color w:val="auto"/>
        </w:rPr>
      </w:pPr>
    </w:p>
    <w:p>
      <w:pPr>
        <w:jc w:val="both"/>
        <w:ind w:left="260" w:right="260" w:hanging="252"/>
        <w:spacing w:after="0" w:line="252"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may have difficulty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62" w:lineRule="exact"/>
        <w:rPr>
          <w:rFonts w:ascii="Times New Roman" w:cs="Times New Roman" w:eastAsia="Times New Roman" w:hAnsi="Times New Roman"/>
          <w:sz w:val="18"/>
          <w:szCs w:val="18"/>
          <w:color w:val="auto"/>
        </w:rPr>
      </w:pPr>
    </w:p>
    <w:p>
      <w:pPr>
        <w:ind w:left="260" w:right="120" w:hanging="252"/>
        <w:spacing w:after="0" w:line="270"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may require development of a risk evaluation and mitigation strategy, or REMS, and foreign regulatory authorities may require a risk management plan, or RMP, as a condition of approval for new products, among other additional requirements;</w:t>
      </w:r>
    </w:p>
    <w:p>
      <w:pPr>
        <w:spacing w:after="0" w:line="46" w:lineRule="exact"/>
        <w:rPr>
          <w:rFonts w:ascii="Times New Roman" w:cs="Times New Roman" w:eastAsia="Times New Roman" w:hAnsi="Times New Roman"/>
          <w:sz w:val="18"/>
          <w:szCs w:val="18"/>
          <w:color w:val="auto"/>
        </w:rPr>
      </w:pPr>
    </w:p>
    <w:p>
      <w:pPr>
        <w:ind w:left="260" w:right="280" w:hanging="252"/>
        <w:spacing w:after="0" w:line="270"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identify deficiencies in the manufacturing processes or facilities of third-party manufacturers with which we enter into agreements for clinical and commercial supplies;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change their approval policies or adopt new regulations; and</w:t>
      </w:r>
    </w:p>
    <w:p>
      <w:pPr>
        <w:spacing w:after="0" w:line="116" w:lineRule="exact"/>
        <w:rPr>
          <w:rFonts w:ascii="Times New Roman" w:cs="Times New Roman" w:eastAsia="Times New Roman" w:hAnsi="Times New Roman"/>
          <w:sz w:val="18"/>
          <w:szCs w:val="18"/>
          <w:color w:val="auto"/>
        </w:rPr>
      </w:pPr>
    </w:p>
    <w:p>
      <w:pPr>
        <w:ind w:left="260" w:right="40" w:hanging="252"/>
        <w:spacing w:after="0" w:line="270" w:lineRule="auto"/>
        <w:tabs>
          <w:tab w:leader="none" w:pos="2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require simultaneous approval for both adults and for children and adolescents, which may delay approval, or we may have successful clinical trial results for adults but not children and adolescents, or vice versa.</w:t>
      </w:r>
    </w:p>
    <w:p>
      <w:pPr>
        <w:spacing w:after="0" w:line="154"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w:t>
      </w:r>
    </w:p>
    <w:p>
      <w:pPr>
        <w:spacing w:after="0" w:line="17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the FDA or comparable foreign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RMP or comparable foreign risk management approaches. The FDA or comparable foreign regulatory authorities may not accept the labeling claims that we believe would be necessary or desirable for the successful commercialization of our product candidates.</w:t>
      </w:r>
    </w:p>
    <w:p>
      <w:pPr>
        <w:spacing w:after="0" w:line="17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Further, the FDA or comparable foreign regulatory authorities may respond to any BLA, NDA or comparable marketing application that we may submit by defining requirements that we do not anticipate. Such responses could delay clinical development of any of our product candidates or any future product candidates.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We are also subject to numerous foreign regulatory requirements governing the conduct of clinical trials, manufacturing and marketing authorization, pricing and third-party reimbursement, and may in the future become subject to additional ones. The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187"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If we encounter difficulties enrolling patients in clinical trials, our clinical development activities could be delayed or otherwise adversely affected, which could adversely affect our business, financial condition, results of operations and prospects.</w:t>
      </w:r>
    </w:p>
    <w:p>
      <w:pPr>
        <w:spacing w:after="0" w:line="13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p>
    <w:p>
      <w:pPr>
        <w:spacing w:after="0" w:line="176"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nature of the patient population;</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eligibility criteria for the trial;</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proximity of patients to clinical sites;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design of the clinical protocol;</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obtain and maintain patient consents;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 the case of a combination study with another product, the ability of such product to be used as a combination therapy;</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6" w:lineRule="exact"/>
        <w:rPr>
          <w:rFonts w:ascii="Times New Roman" w:cs="Times New Roman" w:eastAsia="Times New Roman" w:hAnsi="Times New Roman"/>
          <w:sz w:val="18"/>
          <w:szCs w:val="18"/>
          <w:color w:val="auto"/>
        </w:rPr>
      </w:pPr>
    </w:p>
    <w:p>
      <w:pPr>
        <w:ind w:left="260" w:right="760" w:hanging="252"/>
        <w:spacing w:after="0" w:line="270" w:lineRule="auto"/>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trials before the administration of our product candidates or trial completion;</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competing clinical trials;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new drugs approved for the indication the clinical trial is investigating;</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perceptions as to the potential advantages of the drug being studied in relation to other available therapies; and</w:t>
      </w:r>
    </w:p>
    <w:p>
      <w:pPr>
        <w:spacing w:after="0" w:line="116" w:lineRule="exact"/>
        <w:rPr>
          <w:rFonts w:ascii="Times New Roman" w:cs="Times New Roman" w:eastAsia="Times New Roman" w:hAnsi="Times New Roman"/>
          <w:sz w:val="18"/>
          <w:szCs w:val="18"/>
          <w:color w:val="auto"/>
        </w:rPr>
      </w:pPr>
    </w:p>
    <w:p>
      <w:pPr>
        <w:ind w:left="260" w:right="320" w:hanging="252"/>
        <w:spacing w:after="0" w:line="270" w:lineRule="auto"/>
        <w:tabs>
          <w:tab w:leader="none" w:pos="2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other factors outside of our control, such as the effects of global economic conditions and volatility in the credit and financial markets, inflationary pressures, the Russian invasion of Ukraine, the conflicts in the Middle East and other geopolitical conditions.</w:t>
      </w:r>
    </w:p>
    <w:p>
      <w:pPr>
        <w:spacing w:after="0" w:line="15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For example, as of the date of this Quarterly Report, we have enrolled patients in our phase 2a signal seeking trial for OD-001 at multiple sites, including sites in Ukraine. We are also considering, subject to the receipt of necessary approvals from the applicable regulatory authorities, enrolling patients at sites in the Middle East for future clinical trials. To the extent military conflicts, political unrest, unstable economic conditions or other events adversely impact our ability to enroll patients or complete enrollments in process or adversely impacts the ability of our suppliers to produce and distribute the supplies we need for our OD-001 phase 2a clinical trial or in future clinical trials, we may be required to enroll patients at other sites which could increase the cost or delay the timing for completing such trial.</w:t>
      </w:r>
    </w:p>
    <w:p>
      <w:pPr>
        <w:spacing w:after="0" w:line="17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In addition, some of the diseases our product candidates are designed to address have existing treatments which may make it more</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7" w:right="439" w:bottom="1440" w:gutter="0" w:footer="0" w:header="0"/>
        </w:sectPr>
      </w:pPr>
    </w:p>
    <w:bookmarkStart w:id="54" w:name="page55"/>
    <w:bookmarkEnd w:id="54"/>
    <w:p>
      <w:pPr>
        <w:spacing w:after="0" w:line="244" w:lineRule="auto"/>
        <w:rPr>
          <w:sz w:val="20"/>
          <w:szCs w:val="20"/>
          <w:color w:val="auto"/>
        </w:rPr>
      </w:pPr>
      <w:r>
        <w:rPr>
          <w:rFonts w:ascii="Arial" w:cs="Arial" w:eastAsia="Arial" w:hAnsi="Arial"/>
          <w:sz w:val="18"/>
          <w:szCs w:val="18"/>
          <w:color w:val="auto"/>
        </w:rPr>
        <w:t>difficult to recruit patients.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spacing w:after="0" w:line="17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These factors may make it difficult for us to enroll and retain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Positive results from preclinical studies and early clinical trials of our current or future product candidates are not necessarily predictive of the results of later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In addition, the data from our preclinical comparison studies may not be replicated in clinical trials, and our competitors may advance different compounds than those we studied. For example, historical remission rates observed in early clinical trials are not necessarily indicative of remission rates observed in future placebo-controlled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8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current RIPK2 phase 2a clinical trial utilizes an “open-label” trial design and we may utilize this for future clinical trials for this or future product candidates. An “open-label” clinical trial is one where both the patient and investigator know whether the patient is receiving the investigational product candidate or either an existing approved drug or placebo.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8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55" w:name="page56"/>
    <w:bookmarkEnd w:id="55"/>
    <w:p>
      <w:pPr>
        <w:ind w:right="220"/>
        <w:spacing w:after="0" w:line="253" w:lineRule="auto"/>
        <w:rPr>
          <w:sz w:val="20"/>
          <w:szCs w:val="20"/>
          <w:color w:val="auto"/>
        </w:rPr>
      </w:pPr>
      <w:r>
        <w:rPr>
          <w:rFonts w:ascii="Arial" w:cs="Arial" w:eastAsia="Arial" w:hAnsi="Arial"/>
          <w:sz w:val="18"/>
          <w:szCs w:val="18"/>
          <w:color w:val="auto"/>
        </w:rPr>
        <w:t>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6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value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or prospects.</w:t>
      </w:r>
    </w:p>
    <w:p>
      <w:pPr>
        <w:spacing w:after="0" w:line="18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Our approach to clinical development relies on developing product candidates across a number of inflammatory diseases. We may not be successful in our efforts to discover additional product candidates or 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16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Given our broad approach seeking to identify multiple novel targets in a wide variety of indications, we will need to carefully allocate our limited financial and managerial resources among our selected product candidates in certain selected indications. As a result, we may forgo or delay pursuit of opportunities with other product candidates, or other indications for our existing product candidates that later prove to have greater commercial potential. If we are unable to discover and develop additional product candidates, our ability to commercialize product candidates or partner product candidates may be negatively impacted.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2"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our product candidates, if approved, do not achieve broad market acceptance, the revenue that we generate from their sales will be limited.</w:t>
      </w:r>
    </w:p>
    <w:p>
      <w:pPr>
        <w:spacing w:after="0" w:line="13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are currently developing product candidates targeting inflammatory bowel disease, or IBD, and a number of autoimmune diseases, including systemic lupus erythematosus. In the future, we may develop additional product candidates targeting a range of other inflammatory and autoimmune diseases. However, Odyssey has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79"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degree of market acceptance of any of our product candidates will depend on a number of factors, some of which are beyond our control, including:</w:t>
      </w:r>
    </w:p>
    <w:p>
      <w:pPr>
        <w:spacing w:after="0" w:line="154" w:lineRule="exact"/>
        <w:rPr>
          <w:sz w:val="20"/>
          <w:szCs w:val="20"/>
          <w:color w:val="auto"/>
        </w:rPr>
      </w:pPr>
    </w:p>
    <w:p>
      <w:pPr>
        <w:ind w:left="260" w:right="220" w:hanging="252"/>
        <w:spacing w:after="0" w:line="270" w:lineRule="auto"/>
        <w:tabs>
          <w:tab w:leader="none" w:pos="2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side effect profile, efficacy, tolerability, cost and ease of administration of our product candidates and any approved products we use as part of a combination treatment, if any;</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products are approved and the approved claims that we may make for the products;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56" w:name="page57"/>
    <w:bookmarkEnd w:id="56"/>
    <w:p>
      <w:pPr>
        <w:ind w:left="260" w:right="20" w:hanging="252"/>
        <w:spacing w:after="0" w:line="270" w:lineRule="auto"/>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spacing w:after="0" w:line="46" w:lineRule="exact"/>
        <w:rPr>
          <w:rFonts w:ascii="Times New Roman" w:cs="Times New Roman" w:eastAsia="Times New Roman" w:hAnsi="Times New Roman"/>
          <w:sz w:val="18"/>
          <w:szCs w:val="18"/>
          <w:color w:val="auto"/>
        </w:rPr>
      </w:pPr>
    </w:p>
    <w:p>
      <w:pPr>
        <w:ind w:left="260" w:right="40" w:hanging="252"/>
        <w:spacing w:after="0" w:line="270" w:lineRule="auto"/>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such product candidates or to which we agree as part of a mandatory REMS or RMP or voluntary risk management plan;</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116" w:lineRule="exact"/>
        <w:rPr>
          <w:rFonts w:ascii="Times New Roman" w:cs="Times New Roman" w:eastAsia="Times New Roman" w:hAnsi="Times New Roman"/>
          <w:sz w:val="18"/>
          <w:szCs w:val="18"/>
          <w:color w:val="auto"/>
        </w:rPr>
      </w:pPr>
    </w:p>
    <w:p>
      <w:pPr>
        <w:ind w:left="260" w:right="20" w:hanging="252"/>
        <w:spacing w:after="0" w:line="270" w:lineRule="auto"/>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116" w:lineRule="exact"/>
        <w:rPr>
          <w:rFonts w:ascii="Times New Roman" w:cs="Times New Roman" w:eastAsia="Times New Roman" w:hAnsi="Times New Roman"/>
          <w:sz w:val="18"/>
          <w:szCs w:val="18"/>
          <w:color w:val="auto"/>
        </w:rPr>
      </w:pPr>
    </w:p>
    <w:p>
      <w:pPr>
        <w:ind w:left="260" w:right="740" w:hanging="252"/>
        <w:spacing w:after="0" w:line="270" w:lineRule="auto"/>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of, and availability of, alternative treatments already used or that may later be approved for any of our intended indications;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reluctance of physicians to switch their patients’ current standard of care;</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our product or favorable publicity about competitive products; and</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2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8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The market opportunities for our product candidates and forecasts of market growth may not be accurate, and the actual market for our product candidates may be smaller than we estimate. Even if the markets in which we compete achieve the forecasted growth, our business may not grow at similar rates, or at all.</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products, scientific literature, surveys of clinics, patient foundations or market research, and may prove to be incorrect in general, or as to their applicability to our business.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w:t>
      </w:r>
    </w:p>
    <w:p>
      <w:pPr>
        <w:spacing w:after="0" w:line="191"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3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development and commercialization of new drugs is highly competitive. We face and will continue to face competition from third parties, including larger and better-funded pharmaceutical, biopharmaceutical and biotechnological companies, developing treatments for the indications that we have decided to pursue.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57" w:name="page58"/>
    <w:bookmarkEnd w:id="57"/>
    <w:p>
      <w:pPr>
        <w:spacing w:after="0" w:line="253" w:lineRule="auto"/>
        <w:rPr>
          <w:sz w:val="20"/>
          <w:szCs w:val="20"/>
          <w:color w:val="auto"/>
        </w:rPr>
      </w:pPr>
      <w:r>
        <w:rPr>
          <w:rFonts w:ascii="Arial" w:cs="Arial" w:eastAsia="Arial" w:hAnsi="Arial"/>
          <w:sz w:val="17"/>
          <w:szCs w:val="17"/>
          <w:color w:val="auto"/>
        </w:rPr>
        <w:t>Many of our competitors have significantly greater financial, technical, manufacturing, supply, marketing and sales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172"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the commercialization of our programs may be delayed and our expenses may increase and, as a result, our stock price may decline.</w:t>
      </w:r>
    </w:p>
    <w:p>
      <w:pPr>
        <w:spacing w:after="0" w:line="13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182" w:lineRule="exact"/>
        <w:rPr>
          <w:sz w:val="20"/>
          <w:szCs w:val="20"/>
          <w:color w:val="auto"/>
        </w:rPr>
      </w:pPr>
    </w:p>
    <w:p>
      <w:pPr>
        <w:jc w:val="both"/>
        <w:ind w:right="540"/>
        <w:spacing w:after="0" w:line="249" w:lineRule="auto"/>
        <w:rPr>
          <w:sz w:val="20"/>
          <w:szCs w:val="20"/>
          <w:color w:val="auto"/>
        </w:rPr>
      </w:pPr>
      <w:r>
        <w:rPr>
          <w:rFonts w:ascii="Arial" w:cs="Arial" w:eastAsia="Arial" w:hAnsi="Arial"/>
          <w:sz w:val="18"/>
          <w:szCs w:val="18"/>
          <w:b w:val="1"/>
          <w:bCs w:val="1"/>
          <w:i w:val="1"/>
          <w:iCs w:val="1"/>
          <w:color w:val="auto"/>
        </w:rPr>
        <w:t>Use of our product candidates could be associated with side effects, adverse events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financial condition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Before obtaining regulatory approvals for the commercial sale of any of our product candidates, we must demonstrate through lengthy, complex and expensive preclinical studies and clinical trials that our current product candidates, including OD-001 and OD-002, our lead product candidates, and any future product candidates are both safe, pure and potent and effective for use in such product candidate’s target indication. Clinical testing is expensive, can take many years to complete and its outcome is inherently uncertain. Failure can occur at any time during the clinical trial process. Product candidates in later stages of clinical trials may fail to generate desired safety and efficacy data despite having progressed through preclinical studies and initial clinical trials. It is not uncommon in the biopharmaceutical and biotechnology industries to suffer significant setbacks in advanced clinical trials due to lack of efficacy or unacceptable safety issues, notwithstanding promising results in earlier trials.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materially harm our business, results of operations, financial condition and prospects and may cause us to interrupt, delay or abandon the development of any such product candidate or limit development to more narrow uses or subpopulation.</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preclinical studies or previous clinical trials. For example, while no serious adverse effects, or SAEs, have been observed as of the date of this Quarterly Report, it is possible that testing in additional human subjects with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58" w:name="page59"/>
    <w:bookmarkEnd w:id="58"/>
    <w:p>
      <w:pPr>
        <w:ind w:right="220"/>
        <w:spacing w:after="0" w:line="242" w:lineRule="auto"/>
        <w:rPr>
          <w:sz w:val="20"/>
          <w:szCs w:val="20"/>
          <w:color w:val="auto"/>
        </w:rPr>
      </w:pPr>
      <w:r>
        <w:rPr>
          <w:rFonts w:ascii="Arial" w:cs="Arial" w:eastAsia="Arial" w:hAnsi="Arial"/>
          <w:sz w:val="18"/>
          <w:szCs w:val="18"/>
          <w:color w:val="auto"/>
        </w:rPr>
        <w:t>IBD may, either in monotherapy or in combination with other agents, reveal greater side effects in our clinical program for OD-001 than observed in our clinical testing to date. We will continue to learn more about our product candidates and potential side effects as they advance through clinical development. In addition, if our product candidates are used in combination with other therapies, our product candidates may exacerbate adverse events associated with the therapy. Patients treated with our product candidates may also be undergoing other medical treatments, which can cause side effects or adverse events that are unrelated to our product candidate, but may still impact the success of our clinical trials.</w:t>
      </w:r>
    </w:p>
    <w:p>
      <w:pPr>
        <w:spacing w:after="0" w:line="179"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results of operations and prospects.</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or comparable foreign regulatory authorities could require us to adopt a REMS or RMP, as applicable,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w:t>
      </w:r>
    </w:p>
    <w:p>
      <w:pPr>
        <w:spacing w:after="0" w:line="179"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forced to suspend marketing of that product, or decide to remove the product from the marketplace, if approved;</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or change their approvals of that product;</w:t>
      </w:r>
    </w:p>
    <w:p>
      <w:pPr>
        <w:spacing w:after="0" w:line="116" w:lineRule="exact"/>
        <w:rPr>
          <w:rFonts w:ascii="Times New Roman" w:cs="Times New Roman" w:eastAsia="Times New Roman" w:hAnsi="Times New Roman"/>
          <w:sz w:val="18"/>
          <w:szCs w:val="18"/>
          <w:color w:val="auto"/>
        </w:rPr>
      </w:pPr>
    </w:p>
    <w:p>
      <w:pPr>
        <w:ind w:left="260" w:right="260" w:hanging="252"/>
        <w:spacing w:after="0" w:line="270" w:lineRule="auto"/>
        <w:tabs>
          <w:tab w:leader="none" w:pos="2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medication guide outlining the risks of the product for patients, or to conduct post-marketing studies;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the product is administered;</w:t>
      </w:r>
    </w:p>
    <w:p>
      <w:pPr>
        <w:spacing w:after="0" w:line="116" w:lineRule="exact"/>
        <w:rPr>
          <w:rFonts w:ascii="Times New Roman" w:cs="Times New Roman" w:eastAsia="Times New Roman" w:hAnsi="Times New Roman"/>
          <w:sz w:val="18"/>
          <w:szCs w:val="18"/>
          <w:color w:val="auto"/>
        </w:rPr>
      </w:pPr>
    </w:p>
    <w:p>
      <w:pPr>
        <w:ind w:left="260" w:right="460" w:hanging="252"/>
        <w:spacing w:after="0" w:line="270" w:lineRule="auto"/>
        <w:tabs>
          <w:tab w:leader="none" w:pos="2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subject to fines, injunctions, or the imposition of criminal or civil penalties, or be sued and held liable for harm caused to subjects or patients; and</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 may become less competitive, and our reputation may suffer.</w:t>
      </w:r>
    </w:p>
    <w:p>
      <w:pPr>
        <w:spacing w:after="0" w:line="22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56"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Changes in product candidate manufacturing, formulation or analytical methods may result in additional costs or delay, which could adversely affect our business, financial condition, results of operations and prospects.</w:t>
      </w:r>
    </w:p>
    <w:p>
      <w:pPr>
        <w:spacing w:after="0" w:line="13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product candidates are developed through preclinical studies to later-stage clinical trials toward approval and future commercialization, it is common that various aspects of the development program, such as manufacturing methods, formulation or analytical methods, are altered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59" w:name="page60"/>
    <w:bookmarkEnd w:id="59"/>
    <w:p>
      <w:pPr>
        <w:ind w:right="320"/>
        <w:spacing w:after="0" w:line="256"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abroad, including in China and Ukraine, and seeking to market our product candidates internationally, could materially adversely affect our business, financial condition, results of operations and prospects.</w:t>
      </w:r>
    </w:p>
    <w:p>
      <w:pPr>
        <w:spacing w:after="0" w:line="15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spacing w:after="0" w:line="169"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standards with respect to data integrity;</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standards and privacy requirements for the conduct of clinical trials;</w:t>
      </w:r>
    </w:p>
    <w:p>
      <w:pPr>
        <w:spacing w:after="0" w:line="116" w:lineRule="exact"/>
        <w:rPr>
          <w:rFonts w:ascii="Times New Roman" w:cs="Times New Roman" w:eastAsia="Times New Roman" w:hAnsi="Times New Roman"/>
          <w:sz w:val="18"/>
          <w:szCs w:val="18"/>
          <w:color w:val="auto"/>
        </w:rPr>
      </w:pPr>
    </w:p>
    <w:p>
      <w:pPr>
        <w:ind w:left="260" w:right="120" w:hanging="252"/>
        <w:spacing w:after="0" w:line="270" w:lineRule="auto"/>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managing the logistics and transportation of storing and shipping product candidates to the patient at the relevant trial site abroad;</w:t>
      </w:r>
    </w:p>
    <w:p>
      <w:pPr>
        <w:spacing w:after="0" w:line="46" w:lineRule="exact"/>
        <w:rPr>
          <w:rFonts w:ascii="Times New Roman" w:cs="Times New Roman" w:eastAsia="Times New Roman" w:hAnsi="Times New Roman"/>
          <w:sz w:val="18"/>
          <w:szCs w:val="18"/>
          <w:color w:val="auto"/>
        </w:rPr>
      </w:pPr>
    </w:p>
    <w:p>
      <w:pPr>
        <w:ind w:left="260" w:right="300" w:hanging="252"/>
        <w:spacing w:after="0" w:line="300" w:lineRule="auto"/>
        <w:tabs>
          <w:tab w:leader="none" w:pos="2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imposition of new laws and regulations, including those relating to labor conditions, quality, and safety standards, imports, duties, taxes, and other charges on imports, as well as trade restrictions, tariffs and restrictions on currency exchange or the transfer of funds;</w:t>
      </w:r>
    </w:p>
    <w:p>
      <w:pPr>
        <w:spacing w:after="0" w:line="23"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260" w:right="160" w:hanging="252"/>
        <w:spacing w:after="0" w:line="270" w:lineRule="auto"/>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workforce uncertainty and managing foreign operations;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the FCPA, or comparable foreign regulations;</w:t>
      </w:r>
    </w:p>
    <w:p>
      <w:pPr>
        <w:spacing w:after="0" w:line="116" w:lineRule="exact"/>
        <w:rPr>
          <w:rFonts w:ascii="Times New Roman" w:cs="Times New Roman" w:eastAsia="Times New Roman" w:hAnsi="Times New Roman"/>
          <w:sz w:val="18"/>
          <w:szCs w:val="18"/>
          <w:color w:val="auto"/>
        </w:rPr>
      </w:pPr>
    </w:p>
    <w:p>
      <w:pPr>
        <w:ind w:left="260" w:right="200" w:hanging="252"/>
        <w:spacing w:after="0" w:line="270" w:lineRule="auto"/>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6" w:lineRule="exact"/>
        <w:rPr>
          <w:rFonts w:ascii="Times New Roman" w:cs="Times New Roman" w:eastAsia="Times New Roman" w:hAnsi="Times New Roman"/>
          <w:sz w:val="18"/>
          <w:szCs w:val="18"/>
          <w:color w:val="auto"/>
        </w:rPr>
      </w:pPr>
    </w:p>
    <w:p>
      <w:pPr>
        <w:ind w:left="260" w:right="20" w:hanging="252"/>
        <w:spacing w:after="0" w:line="270" w:lineRule="auto"/>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with obtaining any local supply of drugs or agents used with our product candidates, which are required by certain local clinical trial sites before conducting any study;</w:t>
      </w:r>
    </w:p>
    <w:p>
      <w:pPr>
        <w:spacing w:after="0" w:line="46" w:lineRule="exact"/>
        <w:rPr>
          <w:rFonts w:ascii="Times New Roman" w:cs="Times New Roman" w:eastAsia="Times New Roman" w:hAnsi="Times New Roman"/>
          <w:sz w:val="18"/>
          <w:szCs w:val="18"/>
          <w:color w:val="auto"/>
        </w:rPr>
      </w:pPr>
    </w:p>
    <w:p>
      <w:pPr>
        <w:ind w:left="260" w:right="80" w:hanging="252"/>
        <w:spacing w:after="0" w:line="270" w:lineRule="auto"/>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health epidemics or pandemics, or natural or man-made disasters, including earthquakes, tsunamis, fires, medical epidemics or geo-political developments, including war and terrorism;</w:t>
      </w:r>
    </w:p>
    <w:p>
      <w:pPr>
        <w:spacing w:after="0" w:line="46" w:lineRule="exact"/>
        <w:rPr>
          <w:rFonts w:ascii="Times New Roman" w:cs="Times New Roman" w:eastAsia="Times New Roman" w:hAnsi="Times New Roman"/>
          <w:sz w:val="18"/>
          <w:szCs w:val="18"/>
          <w:color w:val="auto"/>
        </w:rPr>
      </w:pPr>
    </w:p>
    <w:p>
      <w:pPr>
        <w:ind w:left="260" w:right="380" w:hanging="252"/>
        <w:spacing w:after="0" w:line="270" w:lineRule="auto"/>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observe local or international GCPs, including data integrity, rules leading to rejection of safety or effectiveness data by drug regulatory authorities; and</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observe local data privacy or security rules leading to prohibitions on data transfer.</w:t>
      </w:r>
    </w:p>
    <w:p>
      <w:pPr>
        <w:spacing w:after="0" w:line="22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For example, our phase 1 healthy participant trial for OD-001 was conducted in Australia and, as of the date of this Quarterly Report, we have enrolled patients in our phase 2a signal seeking trial for OD-001 at multiple sites in Australia, Canada, Jordan, Moldova, New Zealand, Poland and Ukraine. We are also considering, subject to the receipt of necessary approvals from the applicable regulatory authorities, enrolling patients at sites in the Middle East and other jurisdictions globally for future clinical trials. To the extent military conflicts, political unrest, unstable economic conditions or other events adversely impact our ability to enroll patients or complete enrollments in process or adversely impact the ability of our suppliers to produce and distribute the supplies we need for our OD-001 phase 2a clinical trial or future clinical trials, we may be required to enroll patients at other sites which could increase the cost or delay the timing for completing such trial.</w:t>
      </w:r>
    </w:p>
    <w:p>
      <w:pPr>
        <w:spacing w:after="0" w:line="16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have also engaged CROs active in China and Ukraine to assist with discovery and research activities. Disruptions to our preclinical development programs or increased costs have in the past and may in the future result from changes in the policies of the U.S. or Chinese governments, political unrest, unstable economic conditions in China or Ukraine and disruption from the war in Ukraine. For example, a further trade war between the U.S. and China could lead to tariffs, legislation or regulations that impact our ability to continue relying on these CROs or increase the cost of doing so. Additionally, legislation and regulations, such as the BIOSECURE Act, could restrict our ability to enter into long-term commercial agreements with certain CMOs.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60" w:name="page61"/>
    <w:bookmarkEnd w:id="60"/>
    <w:p>
      <w:pPr>
        <w:ind w:right="420"/>
        <w:spacing w:after="0" w:line="256" w:lineRule="auto"/>
        <w:rPr>
          <w:sz w:val="20"/>
          <w:szCs w:val="20"/>
          <w:color w:val="auto"/>
        </w:rPr>
      </w:pPr>
      <w:r>
        <w:rPr>
          <w:rFonts w:ascii="Arial" w:cs="Arial" w:eastAsia="Arial" w:hAnsi="Arial"/>
          <w:sz w:val="18"/>
          <w:szCs w:val="18"/>
          <w:b w:val="1"/>
          <w:bCs w:val="1"/>
          <w:i w:val="1"/>
          <w:iCs w:val="1"/>
          <w:color w:val="auto"/>
        </w:rPr>
        <w:t>We are conducting and intend to conduct certain of our clinical trials globally. However, the FDA and comparable foreign regulatory authorities may not accept data from such trials, in which case our development plans will be delayed, which could materially harm our business.</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phase 1 healthy participant trial for OD-001 was conducted in Australia and we are conducting our phase 2a signal seeking trial for OD-001 in Australia, Canada, Jordan, Moldova, New Zealand, Poland and Ukraine. In addition, we currently intend to conduct additional future clinical trials in a number of countries around the world, including countries in the Middle East. The acceptance of data from clinical trials conducted outside the United States or another jurisdiction by the FDA or comparable foreign regulatory authorities may be subject to certain conditions or may not be accepted at all, including as a basis for later-stage clinical trials. In cases where data from foreign clinical trials is intended to serve as the basis for marketing approval in the United States, the FDA will generally not approve the application on the basis of foreign data alone unless (among other prerequisites) (i) the data are applicable to the U.S. population and U.S. medical practice; (ii) the trials were performed by clinical investigators of recognized competence in accordance with applicable GCPs;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spacing w:after="0" w:line="1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The manufacturing process for any products that we may develop is subject to the FDA or comparable foreign regulatory authority approval process, and we currently, and will need to continue to, contract with manufacturers who can meet our and all applicable FDA or comparable foreign regulatory authority requirements on an ongoing basis.</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manufacturing process for any products that we may develop is subject to the FDA or comparable foreign authority approval process, and any contractors with which we contract for manufacturing must meet all applicable FDA or comparable foreign regulatory authority requirements on an ongoing basis. If we or our CMOs are unable to reliably produce products to specifications acceptable to the FDA or comparable foreign regulatory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restrictions and criminal prosecutions), delay approval of our product candidates, impair commercialization efforts,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results of operations and prospects. In addition, we could incur higher manufacturing costs if manufacturing processes or standards change, and we could need to replace, modify, design or build and install equipment, all of which would require additional capital expenditures.</w:t>
      </w:r>
    </w:p>
    <w:p>
      <w:pPr>
        <w:spacing w:after="0" w:line="18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rely on third-party CMOs to manufacture and supply drug substance and drug product for our clinical trial for OD-001 and we expect to rely on third-party CMOs for our future clinical trials.</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our product candidates ourselves, including:</w:t>
      </w:r>
    </w:p>
    <w:p>
      <w:pPr>
        <w:spacing w:after="0" w:line="154"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negotiate manufacturing and quality agreements with third parties under commercially reasonable terms;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reduced day-to-day control over the manufacturing process for our product candidates;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reduced control over the protection of our trade secrets and know-how from misappropriation or inadvertent disclosure;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9" w:right="379" w:bottom="1440" w:gutter="0" w:footer="0" w:header="0"/>
        </w:sectPr>
      </w:pPr>
    </w:p>
    <w:bookmarkStart w:id="61" w:name="page62"/>
    <w:bookmarkEnd w:id="61"/>
    <w:p>
      <w:pPr>
        <w:ind w:left="260" w:right="180" w:hanging="252"/>
        <w:spacing w:after="0" w:line="270" w:lineRule="auto"/>
        <w:tabs>
          <w:tab w:leader="none" w:pos="2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w:t>
      </w:r>
    </w:p>
    <w:p>
      <w:pPr>
        <w:spacing w:after="0" w:line="46" w:lineRule="exact"/>
        <w:rPr>
          <w:rFonts w:ascii="Times New Roman" w:cs="Times New Roman" w:eastAsia="Times New Roman" w:hAnsi="Times New Roman"/>
          <w:sz w:val="18"/>
          <w:szCs w:val="18"/>
          <w:color w:val="auto"/>
        </w:rPr>
      </w:pPr>
    </w:p>
    <w:p>
      <w:pPr>
        <w:ind w:left="260" w:right="200" w:hanging="252"/>
        <w:spacing w:after="0" w:line="270" w:lineRule="auto"/>
        <w:tabs>
          <w:tab w:leader="none" w:pos="2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46" w:lineRule="exact"/>
        <w:rPr>
          <w:rFonts w:ascii="Times New Roman" w:cs="Times New Roman" w:eastAsia="Times New Roman" w:hAnsi="Times New Roman"/>
          <w:sz w:val="18"/>
          <w:szCs w:val="18"/>
          <w:color w:val="auto"/>
        </w:rPr>
      </w:pPr>
    </w:p>
    <w:p>
      <w:pPr>
        <w:ind w:left="260" w:right="260" w:hanging="252"/>
        <w:spacing w:after="0" w:line="270" w:lineRule="auto"/>
        <w:tabs>
          <w:tab w:leader="none" w:pos="2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46" w:lineRule="exact"/>
        <w:rPr>
          <w:rFonts w:ascii="Times New Roman" w:cs="Times New Roman" w:eastAsia="Times New Roman" w:hAnsi="Times New Roman"/>
          <w:sz w:val="18"/>
          <w:szCs w:val="18"/>
          <w:color w:val="auto"/>
        </w:rPr>
      </w:pPr>
    </w:p>
    <w:p>
      <w:pPr>
        <w:ind w:left="260" w:right="220" w:hanging="252"/>
        <w:spacing w:after="0" w:line="270" w:lineRule="auto"/>
        <w:tabs>
          <w:tab w:leader="none" w:pos="2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synchronize operations and standards to ensure that all aspects of manufacturing are consistent without deviations across facilities.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If our CMOs were to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Moreover, if we are unable to manufacture or contract for a sufficient supply of our product candidates on acceptable terms, or if we encounter delays or difficulties in the scale-up of our manufacturing processes,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results of operations and prospects. In addition, if any of our product candidates are approved for sale, our inability to manufacture or contract for a sufficient supply of such potential future products on acceptable terms would have a material adverse effect on our business, financial condition, results of operations and prospects.</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recall, operating restrictions, suits under the civil False Claims Act, or FCA, corporate integrity agreements, consent decrees or withdrawal of product approval.</w:t>
      </w:r>
    </w:p>
    <w:p>
      <w:pPr>
        <w:spacing w:after="0" w:line="18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have explored and may continue to explore the use of certain of our product candidates in combination with other therapies, including those that may not yet be approved. For example, we are planning to assess, as part of a planned phase 2a combination basket trial, the effect of OD-001 in combination with vedolizumab and potentially other standard of care therapies.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8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While vedolizumab is approved by regulatory authorities in major markets, including the FDA and EMA, it has not received marketing approval in some countries where we intend to conduct our clinical trials. If we are unable to use the standard of care agents in our planned phase 2a combination trial for OD-001 in countries where the standard of care agents have not been approved or in our ongoing phase 2a signal seeking trial for OD-001, which includes a vedolizumab</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62" w:name="page63"/>
    <w:bookmarkEnd w:id="62"/>
    <w:p>
      <w:pPr>
        <w:ind w:right="160"/>
        <w:spacing w:after="0" w:line="253" w:lineRule="auto"/>
        <w:rPr>
          <w:sz w:val="20"/>
          <w:szCs w:val="20"/>
          <w:color w:val="auto"/>
        </w:rPr>
      </w:pPr>
      <w:r>
        <w:rPr>
          <w:rFonts w:ascii="Arial" w:cs="Arial" w:eastAsia="Arial" w:hAnsi="Arial"/>
          <w:sz w:val="18"/>
          <w:szCs w:val="18"/>
          <w:color w:val="auto"/>
        </w:rPr>
        <w:t>maintenance and induction period we may be required to enroll additional patients at existing sites or identify new trial sites, resulting in potential delays in the trial and additional expenses. As a result, our clinical development activities could be delayed or otherwise adversely affected, which could adversely affect our business, financial condition, results of operations and prospects.</w:t>
      </w:r>
    </w:p>
    <w:p>
      <w:pPr>
        <w:spacing w:after="0" w:line="169"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4"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16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any future issued patents will afford sufficient protection of our product candidates or their intended uses against competitors, nor can we assure you that the patents issued will not be infringed, designed around or invalidated by third parties, or that we can effectively prevent others from commercializing competitive technologies, products or product candidates.</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Obtaining and enforcing patents is expensive and time-consuming, and we may not be able to file, prosecute, maintain, enforce or license all necessary or desirable patent applications or maintain or enforce patents that may issue based on our patent applications, at a reasonable cost or in a timely manner. Public disclosures by us or third parties may preclude our ability to obtain or maintain patent applications and patents. It is also possible that we will fail to identify patentable aspects of our research and development results before it is too late to obtain patent protection. Although we enter into non-disclosure and confidentiality agreements with parties who have access to confidential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 We may also depend on current or future collaborators or licensors to take necessary action to comply with patent protection requirements with respect to any licensed intellectual property. Noncompliance with such requirements could result in abandonment or lapse of the patent or patent application, resulting in partial or complete loss of patent rights in the relevant jurisdiction.</w:t>
      </w:r>
    </w:p>
    <w:p>
      <w:pPr>
        <w:spacing w:after="0" w:line="1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composition of matter of our product candidates will be considered patentable by the United States Patent and Trademark Office, or the USPTO, or by patent offices in foreign countries, or that the claims in any of our issued patents will be considered valid and enforceable by courts in the United States or foreign countries. Method of use patents protect the use of a product for the methods claimed in the patents. This type of patent does not prevent a competitor from making and marketing a product that is identical to our product candidates for an indication that is outside the scope of the patented method. Moreover, even if competitors do not actively promote their product for our patented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8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in recent years been the subject of much litigation, resulting in court decisions, including U.S. Supreme Court decisions, which have increased uncertainty as to the ability to enforce patent rights in the future. As a result, the issuance, scope, validity, enforceability and commercial value of any patent rights are highly uncertain. Our pending and future owned or in-licensed patent applications may not result in patents being issued that protect our technologies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63" w:name="page64"/>
    <w:bookmarkEnd w:id="63"/>
    <w:p>
      <w:pPr>
        <w:ind w:right="120"/>
        <w:spacing w:after="0" w:line="247" w:lineRule="auto"/>
        <w:rPr>
          <w:sz w:val="20"/>
          <w:szCs w:val="20"/>
          <w:color w:val="auto"/>
        </w:rPr>
      </w:pPr>
      <w:r>
        <w:rPr>
          <w:rFonts w:ascii="Arial" w:cs="Arial" w:eastAsia="Arial" w:hAnsi="Arial"/>
          <w:sz w:val="18"/>
          <w:szCs w:val="18"/>
          <w:color w:val="auto"/>
        </w:rPr>
        <w:t>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1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collaborators or licensors)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patent rights are highly uncertain.</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pending patent applications, and those of any collaborators or licensors, may be challenged in the USPTO or patent offices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challenging our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8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 third party may also claim that our current or future owned or licensed patent rights are invalid or unenforceable in a litigation. The outcome following legal assertions of invalidity and unenforceability is unpredictable. An adverse result in any legal proceeding could put one or more of our current or future owned or in-licensed patents at risk of being invalidated or interpreted narrowly and could allow third parties to commercialize our products and compete directly with us, without payment to us.</w:t>
      </w:r>
    </w:p>
    <w:p>
      <w:pPr>
        <w:spacing w:after="0" w:line="17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7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also rely upon a combination of trade secrets, know-how and confidentiality agreements to protect the intellectual property related to our product candidates and technologies and to prevent third parties from copying and surpassing our achievements, thus eroding our competitive position in our market.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4" w:name="page65"/>
    <w:bookmarkEnd w:id="64"/>
    <w:p>
      <w:pPr>
        <w:ind w:right="180"/>
        <w:spacing w:after="0" w:line="278" w:lineRule="auto"/>
        <w:rPr>
          <w:sz w:val="20"/>
          <w:szCs w:val="20"/>
          <w:color w:val="auto"/>
        </w:rPr>
      </w:pPr>
      <w:r>
        <w:rPr>
          <w:rFonts w:ascii="Arial" w:cs="Arial" w:eastAsia="Arial" w:hAnsi="Arial"/>
          <w:sz w:val="18"/>
          <w:szCs w:val="18"/>
          <w:b w:val="1"/>
          <w:bCs w:val="1"/>
          <w:i w:val="1"/>
          <w:iCs w:val="1"/>
          <w:color w:val="auto"/>
        </w:rPr>
        <w:t>We cannot ensure that patent rights relating to inventions described and claimed in our pending patent applications will issue, or that patents that issue in the future will not be challenged and rendered invalid or unenforceable.</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We have several patent applications in our portfolio; however, we cannot predict:</w:t>
      </w:r>
    </w:p>
    <w:p>
      <w:pPr>
        <w:spacing w:after="0" w:line="169"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if and when patents may issue based on our patent applications;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of any patent issuing based on our patent applications;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claims of any issued patent will provide protection against competitors;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whether or not third parties will find ways to invalidate or circumvent our patent rights;</w:t>
      </w:r>
    </w:p>
    <w:p>
      <w:pPr>
        <w:spacing w:after="0" w:line="116" w:lineRule="exact"/>
        <w:rPr>
          <w:rFonts w:ascii="Times New Roman" w:cs="Times New Roman" w:eastAsia="Times New Roman" w:hAnsi="Times New Roman"/>
          <w:sz w:val="18"/>
          <w:szCs w:val="18"/>
          <w:color w:val="auto"/>
        </w:rPr>
      </w:pPr>
    </w:p>
    <w:p>
      <w:pPr>
        <w:ind w:left="260" w:right="500" w:hanging="252"/>
        <w:spacing w:after="0" w:line="270" w:lineRule="auto"/>
        <w:tabs>
          <w:tab w:leader="none" w:pos="2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whether we will need to initiate litigation or administrative proceedings to enforce and/or defend our patent rights which will be costly whether we win or lose; or</w:t>
      </w:r>
    </w:p>
    <w:p>
      <w:pPr>
        <w:spacing w:after="0" w:line="46" w:lineRule="exact"/>
        <w:rPr>
          <w:rFonts w:ascii="Times New Roman" w:cs="Times New Roman" w:eastAsia="Times New Roman" w:hAnsi="Times New Roman"/>
          <w:sz w:val="18"/>
          <w:szCs w:val="18"/>
          <w:color w:val="auto"/>
        </w:rPr>
      </w:pPr>
    </w:p>
    <w:p>
      <w:pPr>
        <w:ind w:left="260" w:right="260" w:hanging="252"/>
        <w:spacing w:after="0" w:line="270" w:lineRule="auto"/>
        <w:tabs>
          <w:tab w:leader="none" w:pos="2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patent applications will result in issued patents with claims that cover each of our product candidates or uses thereof in the United States or in other foreign countries.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may be subject to a third-party pre-issuance submission of prior art to the USPTO or become involved in PGR procedures, oppositions, derivations, revocation, reexaminations, IPR or derivation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spacing w:after="0" w:line="171"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pending and future patent applications may not result in patents being issued that protect our product candidates, in whole or in part, or which effectively prevent others from commercializing competitive products.</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 derivation proceeding in the United States can be initiated by a third party to determine who invented any of the subject matter covered by the claims of our patent applications. Therefore, we cannot be certain that we were the first to make the inventions claimed in our patents or pending patent applications, or that we were the first to file for patent protection of such inventions.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65" w:name="page66"/>
    <w:bookmarkEnd w:id="65"/>
    <w:p>
      <w:pPr>
        <w:ind w:right="20"/>
        <w:spacing w:after="0"/>
        <w:rPr>
          <w:sz w:val="20"/>
          <w:szCs w:val="20"/>
          <w:color w:val="auto"/>
        </w:rPr>
      </w:pPr>
      <w:r>
        <w:rPr>
          <w:rFonts w:ascii="Arial" w:cs="Arial" w:eastAsia="Arial" w:hAnsi="Arial"/>
          <w:sz w:val="18"/>
          <w:szCs w:val="18"/>
          <w:color w:val="auto"/>
        </w:rPr>
        <w:t>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future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8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81"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develop current and any future product candidates on acceptable terms.</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Because some of our programs may involve additional product candidates that may require the use of proprietary rights held by third parties, the growth of our business may depend in part on our ability to acquire, in-license or use these proprietary rights. Our product candidates also may require specific formulations to work effectively and efficiently and these rights may be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we may have limited control over the maintenance and prosecution of any current or future in-licensed intellectual property. A licensor may not successfully prosecute any patent applications to which we are licensed in a manner consistent with the best interests of our business. We may also have limited control over the manner in which any licensor initiates an infringement proceeding against a third-party infringer or defends any intellectual property that is licensed to us. It is possible that a licensor’s infringement proceeding or defense activities may be less vigorous than those we would have conducted ourselves. We may also enter into future license agreements under which we are a sub-licensee. If any sub-licensor fails to comply with its obligations under its upstream license agreement with its licensor, the licensor may have the right to terminate the upstream license, which could terminate the sub-license. If this were to occur, we would no longer have rights to the applicable intellectual property unless we are able to secure our own direct license with the owner of the relevant rights, which we may not be able to do on reasonable terms, or at all.</w:t>
      </w:r>
    </w:p>
    <w:p>
      <w:pPr>
        <w:spacing w:after="0" w:line="18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Additionally, we sometimes collaborate with academic institutions and governmental authorities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financial condition, results of operations and prospects could be adversely affected.</w:t>
      </w:r>
    </w:p>
    <w:p>
      <w:pPr>
        <w:spacing w:after="0" w:line="18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Any product candidates licensed from third parties may be subject to retained rights.</w:t>
      </w:r>
    </w:p>
    <w:p>
      <w:pPr>
        <w:spacing w:after="0" w:line="21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Third-parties who have collaborated with us by contributing intellectual property or with whom we may collaborate with or license intellectual property from in the future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spacing w:after="0" w:line="17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may also at times choose to collaborate with academic institutions to accelerate our preclinical research or development.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81" w:lineRule="exact"/>
        <w:rPr>
          <w:sz w:val="20"/>
          <w:szCs w:val="20"/>
          <w:color w:val="auto"/>
        </w:rPr>
      </w:pPr>
    </w:p>
    <w:p>
      <w:pPr>
        <w:ind w:right="420"/>
        <w:spacing w:after="0" w:line="249"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p>
    <w:p>
      <w:pPr>
        <w:spacing w:after="0" w:line="16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spacing w:after="0" w:line="18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scope of a patent claim in the United States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67" w:name="page68"/>
    <w:bookmarkEnd w:id="67"/>
    <w:p>
      <w:pPr>
        <w:ind w:right="140"/>
        <w:spacing w:after="0" w:line="244"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Third parties may assert that we are employing their proprietary technology without authorization and may sue us for patent or other intellectual property infringement. These lawsuits are costly and could adversely affect our business, financial condition, results of operations and prospects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or other forms of compensation to third parties, which could be significant. We may not be able to enter into licensing arrangements or make other arrangements at a reasonable cost or on reasonable terms, or at all.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results of operations and prospects. Any claims by third parties that we have misappropriated their confidential information or trade secrets could have a similar material and adverse effect on our business, financial condition, results of operations and prospects. In addition, any uncertainties resulting from the initiation and continuation of any litigation could have a material adverse effect on our ability to raise the funds necessary to continue our operations.</w:t>
      </w:r>
    </w:p>
    <w:p>
      <w:pPr>
        <w:spacing w:after="0" w:line="19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other intellectual property, which could be expensive, time-consuming and unsuccessful.</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Competitors or other third parties may infringe our patents, trademarks or other intellectual property, or those of our collaborators or licensing partners.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8" w:name="page69"/>
    <w:bookmarkEnd w:id="68"/>
    <w:p>
      <w:pPr>
        <w:ind w:right="80"/>
        <w:spacing w:after="0" w:line="238" w:lineRule="auto"/>
        <w:rPr>
          <w:sz w:val="20"/>
          <w:szCs w:val="20"/>
          <w:color w:val="auto"/>
        </w:rPr>
      </w:pPr>
      <w:r>
        <w:rPr>
          <w:rFonts w:ascii="Arial" w:cs="Arial" w:eastAsia="Arial" w:hAnsi="Arial"/>
          <w:sz w:val="18"/>
          <w:szCs w:val="18"/>
          <w:color w:val="auto"/>
        </w:rPr>
        <w:t>of our patented technology falls under the safe harbor to patent infringement under 35 U.S.C. §271(e)(1). In addition, the U.S. Supreme Court recently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Our future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spacing w:after="0" w:line="18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may not be able to detect infringement against our future owned or in-licensed patents, as the case may be, which may be especially difficult for manufacturing processes or formulation patents. Even if we detect infringement by a third party of our future owned or in-licensed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future owned or in-licensed patents, as the case may be, against such third party.</w:t>
      </w:r>
    </w:p>
    <w:p>
      <w:pPr>
        <w:spacing w:after="0" w:line="17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If another party questions the patentability of any of our claims in our future owned or in-licensed U.S. patents, the third party can request that the USPTO review the patent claims such as in an IPR, ex parte re-exam or PGR proceeding. These proceedings are expensive and may result in a loss of scope of some claims or a loss of the entire patent. In addition to potential USPTO proceedings, we may become a party to patent opposition proceedings at the European Patent Office or similar proceedings in other foreign patent offices, where either our future owned or in-licensed foreign patents are challenged.</w:t>
      </w:r>
    </w:p>
    <w:p>
      <w:pPr>
        <w:spacing w:after="0" w:line="17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w:t>
      </w:r>
    </w:p>
    <w:p>
      <w:pPr>
        <w:spacing w:after="0" w:line="181"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 or claims asserting that our employees, consultants or advisors have wrongfully used or disclosed alleged trade secrets of their current or former employers.</w:t>
      </w:r>
    </w:p>
    <w:p>
      <w:pPr>
        <w:spacing w:after="0" w:line="15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or those of our collaborators or licensors, as an inventor or co-inventor. The failure to name the proper inventors on a patent application can result in the patents issuing thereon being unenforceable or invalid.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69" w:name="page70"/>
    <w:bookmarkEnd w:id="69"/>
    <w:p>
      <w:pPr>
        <w:ind w:right="80"/>
        <w:spacing w:after="0" w:line="253" w:lineRule="auto"/>
        <w:rPr>
          <w:sz w:val="20"/>
          <w:szCs w:val="20"/>
          <w:color w:val="auto"/>
        </w:rPr>
      </w:pPr>
      <w:r>
        <w:rPr>
          <w:rFonts w:ascii="Arial" w:cs="Arial" w:eastAsia="Arial" w:hAnsi="Arial"/>
          <w:sz w:val="18"/>
          <w:szCs w:val="18"/>
          <w:color w:val="auto"/>
        </w:rPr>
        <w:t>we may lose valuable intellectual property rights, such as exclusive ownership of, or right to use, valuable intellectual property. Such an outcome could adversely affect our business, financial condition, results of operations and prospects. Even if we are successful in defending against such claims, litigation could result in substantial costs and be a distraction to management and other employees.</w:t>
      </w:r>
    </w:p>
    <w:p>
      <w:pPr>
        <w:spacing w:after="0" w:line="16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p>
    <w:p>
      <w:pPr>
        <w:spacing w:after="0" w:line="18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79"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In light of the advent of AI-assisted inventions, it is possible third parties could challenge our future patents as invalid for lack of a human inventor. The law regarding AI-assisted inventions and inventorship is evolving rapidly and allegations of improper inventorship of our AI-assisted inventions could pose a challenge to the validity and/or enforceability of our future patents throughout the world.</w:t>
      </w:r>
    </w:p>
    <w:p>
      <w:pPr>
        <w:spacing w:after="0" w:line="171"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products or product candidates for an adequate amount of time. If we do not obtain patent term extension for our product candidates, our business may be materially harmed.</w:t>
      </w:r>
    </w:p>
    <w:p>
      <w:pPr>
        <w:spacing w:after="0" w:line="13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any patents we may own or license may not provide us with sufficient and continuing rights to exclude others from commercializing products similar or identical to ours.</w:t>
      </w:r>
    </w:p>
    <w:p>
      <w:pPr>
        <w:spacing w:after="0" w:line="18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Depending upon the timing, duration and specifics of any FDA marketing approval of any of our product candidates, any issued U.S. patents that we may own in the future may be eligible for limited patent term restoration, or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an approved method for using it or a method for manufacturing it may be extended. Similar patent term restoration provisions to compensate for commercialization delay caused by regulatory review are also available in certain foreign jurisdictions, such as in Europe under a Supplemental Protection Certificate.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70" w:name="page71"/>
    <w:bookmarkEnd w:id="70"/>
    <w:p>
      <w:pPr>
        <w:ind w:right="18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13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AIA, signed into law on September 16, 2011,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w:t>
      </w:r>
    </w:p>
    <w:p>
      <w:pPr>
        <w:spacing w:after="0" w:line="18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and patents that we might obtain in the future. For example, in the case, </w:t>
      </w:r>
      <w:r>
        <w:rPr>
          <w:rFonts w:ascii="Arial" w:cs="Arial" w:eastAsia="Arial" w:hAnsi="Arial"/>
          <w:sz w:val="18"/>
          <w:szCs w:val="18"/>
          <w:i w:val="1"/>
          <w:iCs w:val="1"/>
          <w:color w:val="auto"/>
        </w:rPr>
        <w:t>Assoc. for Molecular Pathology v. Myriad Genetics, Inc.</w:t>
      </w:r>
      <w:r>
        <w:rPr>
          <w:rFonts w:ascii="Arial" w:cs="Arial" w:eastAsia="Arial" w:hAnsi="Arial"/>
          <w:sz w:val="18"/>
          <w:szCs w:val="18"/>
          <w:color w:val="auto"/>
        </w:rPr>
        <w:t xml:space="preserve">, the U.S. Supreme Court held that claims to certain DNA molecules are not patentable. In </w:t>
      </w:r>
      <w:r>
        <w:rPr>
          <w:rFonts w:ascii="Arial" w:cs="Arial" w:eastAsia="Arial" w:hAnsi="Arial"/>
          <w:sz w:val="18"/>
          <w:szCs w:val="18"/>
          <w:i w:val="1"/>
          <w:iCs w:val="1"/>
          <w:color w:val="auto"/>
        </w:rPr>
        <w:t>Amgen Inc. v. Sanofi</w:t>
      </w:r>
      <w:r>
        <w:rPr>
          <w:rFonts w:ascii="Arial" w:cs="Arial" w:eastAsia="Arial" w:hAnsi="Arial"/>
          <w:sz w:val="18"/>
          <w:szCs w:val="18"/>
          <w:color w:val="auto"/>
        </w:rPr>
        <w:t>, the Federal Circuit held that claims with functional language may pose high hurdles in fulfilling the enablement requirement.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significantly impacts European patents, including those granted before the introduction of the system. Under the Unitary Patent system, after a European patent is granted, the default is that the patent will be a part of the Unitary Patent system, thereby resulting in a Unitary Patent having unitary effect; the patent proprietor, however, can, in some instances, opt out of the Unitary Patent system and opt for the traditional state-by-state national validation instead. Each Unitary Patent is subject to the jurisdiction of the Unitary Patent Court, or UPC. As the UPC is a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1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information and know -how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or information. If a competitor independently develops a technology that we protect as a trade secret and files a patent application on that technology, then we may not be able to patent that technology in the future and we may require a license from the competitor to use our own technology or know-how.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p>
    <w:p>
      <w:pPr>
        <w:spacing w:after="0" w:line="191"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brand and name recognition in our markets of interest and our business may be adversely affected.</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merely descriptive or generic or determined to be infringing on other marks. The use of our registered and unregistered marks may also be limited by certain agreements with third parties. During trademark registration proceedings, we may receive rejections of our applications by the USPTO or in other foreign jurisdictions. Although we are given an opportunity to respond to those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result in our trademarks not surviving those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may not be able to protect our rights to these trademarks and trade names, which we need to build brand and name recognition among potential partners or future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brand and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21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4" w:lineRule="exact"/>
        <w:rPr>
          <w:sz w:val="20"/>
          <w:szCs w:val="20"/>
          <w:color w:val="auto"/>
        </w:rPr>
      </w:pPr>
    </w:p>
    <w:p>
      <w:pPr>
        <w:ind w:left="260" w:right="360" w:hanging="252"/>
        <w:spacing w:after="0" w:line="270" w:lineRule="auto"/>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our patent applications and any patents that we may own or license;</w:t>
      </w:r>
    </w:p>
    <w:p>
      <w:pPr>
        <w:spacing w:after="0" w:line="46" w:lineRule="exact"/>
        <w:rPr>
          <w:rFonts w:ascii="Times New Roman" w:cs="Times New Roman" w:eastAsia="Times New Roman" w:hAnsi="Times New Roman"/>
          <w:sz w:val="18"/>
          <w:szCs w:val="18"/>
          <w:color w:val="auto"/>
        </w:rPr>
      </w:pPr>
    </w:p>
    <w:p>
      <w:pPr>
        <w:ind w:left="260" w:right="760" w:hanging="252"/>
        <w:spacing w:after="0" w:line="270" w:lineRule="auto"/>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may own or license;</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may own or license may be held invalid or unenforceable as a result of legal challenges by our competitors;</w:t>
      </w:r>
    </w:p>
    <w:p>
      <w:pPr>
        <w:spacing w:after="0" w:line="116" w:lineRule="exact"/>
        <w:rPr>
          <w:rFonts w:ascii="Times New Roman" w:cs="Times New Roman" w:eastAsia="Times New Roman" w:hAnsi="Times New Roman"/>
          <w:sz w:val="18"/>
          <w:szCs w:val="18"/>
          <w:color w:val="auto"/>
        </w:rPr>
      </w:pPr>
    </w:p>
    <w:p>
      <w:pPr>
        <w:ind w:left="260" w:right="400" w:hanging="252"/>
        <w:spacing w:after="0" w:line="270" w:lineRule="auto"/>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16" w:lineRule="exact"/>
        <w:rPr>
          <w:rFonts w:ascii="Times New Roman" w:cs="Times New Roman" w:eastAsia="Times New Roman" w:hAnsi="Times New Roman"/>
          <w:sz w:val="18"/>
          <w:szCs w:val="18"/>
          <w:color w:val="auto"/>
        </w:rPr>
      </w:pPr>
    </w:p>
    <w:p>
      <w:pPr>
        <w:ind w:left="260" w:right="60" w:hanging="252"/>
        <w:spacing w:after="0" w:line="270" w:lineRule="auto"/>
        <w:tabs>
          <w:tab w:leader="none" w:pos="2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14"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this type of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9" w:right="379" w:bottom="1440" w:gutter="0" w:footer="0" w:header="0"/>
        </w:sectPr>
      </w:pPr>
    </w:p>
    <w:bookmarkStart w:id="73" w:name="page74"/>
    <w:bookmarkEnd w:id="73"/>
    <w:p>
      <w:pPr>
        <w:ind w:right="20"/>
        <w:spacing w:after="0"/>
        <w:rPr>
          <w:sz w:val="20"/>
          <w:szCs w:val="20"/>
          <w:color w:val="auto"/>
        </w:rPr>
      </w:pPr>
      <w:r>
        <w:rPr>
          <w:rFonts w:ascii="Arial" w:cs="Arial" w:eastAsia="Arial" w:hAnsi="Arial"/>
          <w:sz w:val="18"/>
          <w:szCs w:val="18"/>
          <w:color w:val="auto"/>
        </w:rPr>
        <w:t>the damages or other remedies awarded, if any, may not be commercially meaningful. Similarly, if our trade secrets are disclosed in a foreign jurisdiction, competitors worldwide could have access to our proprietary information and we may be without satisfactory recourse. Disclosure of this nature could have a material adverse effect on our business. In addition, certain countries outside of the United States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4" w:lineRule="exact"/>
        <w:rPr>
          <w:sz w:val="20"/>
          <w:szCs w:val="20"/>
          <w:color w:val="auto"/>
        </w:rPr>
      </w:pPr>
    </w:p>
    <w:p>
      <w:pPr>
        <w:ind w:right="880"/>
        <w:spacing w:after="0" w:line="27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those products may become subject to unfavorable pricing regulations, third-party reimbursement practices or healthcare reform initiatives, which could harm our business.</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regulations that govern marketing approvals, pricing and reimbursement for new drug products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are able to generate from the sale of the product in that particular country. Adverse pricing limitations may hinder our ability to recoup our investment in one or more product candidates, even if our product candidates obtain marketing approval.</w:t>
      </w:r>
    </w:p>
    <w:p>
      <w:pPr>
        <w:spacing w:after="0" w:line="185"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spacing w:after="0" w:line="18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spacing w:after="0" w:line="174"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74" w:name="page75"/>
    <w:bookmarkEnd w:id="74"/>
    <w:p>
      <w:pPr>
        <w:spacing w:after="0" w:line="244" w:lineRule="auto"/>
        <w:rPr>
          <w:sz w:val="20"/>
          <w:szCs w:val="20"/>
          <w:color w:val="auto"/>
        </w:rPr>
      </w:pPr>
      <w:r>
        <w:rPr>
          <w:rFonts w:ascii="Arial" w:cs="Arial" w:eastAsia="Arial" w:hAnsi="Arial"/>
          <w:sz w:val="18"/>
          <w:szCs w:val="18"/>
          <w:color w:val="auto"/>
        </w:rPr>
        <w:t>reimbursement will be obtained.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w:t>
      </w:r>
    </w:p>
    <w:p>
      <w:pPr>
        <w:spacing w:after="0" w:line="17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Specifically, the Centers for Medicare &amp; Medicaid Services, or CMS, imposes rebates on many Medicare Part B and Medicare Part D products to penalize price increases that outpace inflation on an annual basis. The Department of Health and Human Services, or HHS, has also been empowered to negotiate the price of certain single-source drugs that have been on the market for at least seven years and single-source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and potential negative pricing effects in other market channels, on a per unit basis.</w:t>
      </w:r>
    </w:p>
    <w:p>
      <w:pPr>
        <w:spacing w:after="0" w:line="1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related to research and development, manufacturing and sale and distribution efforts.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spacing w:after="0" w:line="15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pharmaceutical products. Any arrangements we may have with healthcare providers, third-party payors and customers can expose us to broadly applicable fraud and abuse and other healthcare laws and regulations. Such laws and regulations may constrain the business or financial arrangements and relationships through which we research and, if approved, sell, market and distribute our product candidates.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75" w:name="page76"/>
    <w:bookmarkEnd w:id="75"/>
    <w:p>
      <w:pPr>
        <w:ind w:right="20"/>
        <w:spacing w:after="0" w:line="247" w:lineRule="auto"/>
        <w:rPr>
          <w:sz w:val="20"/>
          <w:szCs w:val="20"/>
          <w:color w:val="auto"/>
        </w:rPr>
      </w:pPr>
      <w:r>
        <w:rPr>
          <w:rFonts w:ascii="Arial" w:cs="Arial" w:eastAsia="Arial" w:hAnsi="Arial"/>
          <w:sz w:val="18"/>
          <w:szCs w:val="18"/>
          <w:color w:val="auto"/>
        </w:rPr>
        <w:t>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p>
    <w:p>
      <w:pPr>
        <w:spacing w:after="0" w:line="174" w:lineRule="exact"/>
        <w:rPr>
          <w:sz w:val="20"/>
          <w:szCs w:val="20"/>
          <w:color w:val="auto"/>
        </w:rPr>
      </w:pPr>
    </w:p>
    <w:p>
      <w:pPr>
        <w:ind w:left="260" w:right="8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spacing w:after="0" w:line="75" w:lineRule="exact"/>
        <w:rPr>
          <w:rFonts w:ascii="Times New Roman" w:cs="Times New Roman" w:eastAsia="Times New Roman" w:hAnsi="Times New Roman"/>
          <w:sz w:val="18"/>
          <w:szCs w:val="18"/>
          <w:color w:val="auto"/>
        </w:rPr>
      </w:pPr>
    </w:p>
    <w:p>
      <w:pPr>
        <w:ind w:left="260" w:right="20" w:hanging="252"/>
        <w:spacing w:after="0" w:line="239" w:lineRule="auto"/>
        <w:tabs>
          <w:tab w:leader="none" w:pos="2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and criminal false claims laws, including the FCA, which prohibit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74" w:lineRule="exact"/>
        <w:rPr>
          <w:rFonts w:ascii="Times New Roman" w:cs="Times New Roman" w:eastAsia="Times New Roman" w:hAnsi="Times New Roman"/>
          <w:sz w:val="18"/>
          <w:szCs w:val="18"/>
          <w:color w:val="auto"/>
        </w:rPr>
      </w:pPr>
    </w:p>
    <w:p>
      <w:pPr>
        <w:ind w:left="260" w:right="200" w:hanging="252"/>
        <w:spacing w:after="0" w:line="239" w:lineRule="auto"/>
        <w:tabs>
          <w:tab w:leader="none" w:pos="2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spacing w:after="0" w:line="78" w:lineRule="exact"/>
        <w:rPr>
          <w:rFonts w:ascii="Times New Roman" w:cs="Times New Roman" w:eastAsia="Times New Roman" w:hAnsi="Times New Roman"/>
          <w:sz w:val="18"/>
          <w:szCs w:val="18"/>
          <w:color w:val="auto"/>
        </w:rPr>
      </w:pPr>
    </w:p>
    <w:p>
      <w:pPr>
        <w:ind w:left="260" w:right="100" w:hanging="252"/>
        <w:spacing w:after="0" w:line="243" w:lineRule="auto"/>
        <w:tabs>
          <w:tab w:leader="none" w:pos="2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furthermore, HIPAA, as amended by the Health Information Technology for Economic and Clinical Health Act, or HITECH, and their respective implementing regulations, also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260" w:right="180" w:hanging="252"/>
        <w:spacing w:after="0" w:line="246" w:lineRule="auto"/>
        <w:tabs>
          <w:tab w:leader="none" w:pos="2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68" w:lineRule="exact"/>
        <w:rPr>
          <w:rFonts w:ascii="Times New Roman" w:cs="Times New Roman" w:eastAsia="Times New Roman" w:hAnsi="Times New Roman"/>
          <w:sz w:val="18"/>
          <w:szCs w:val="18"/>
          <w:color w:val="auto"/>
        </w:rPr>
      </w:pPr>
    </w:p>
    <w:p>
      <w:pPr>
        <w:ind w:left="260" w:right="320" w:hanging="252"/>
        <w:spacing w:after="0" w:line="270" w:lineRule="auto"/>
        <w:tabs>
          <w:tab w:leader="none" w:pos="2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that may be used in the calculation of reimbursement or discounts on approved products;</w:t>
      </w:r>
    </w:p>
    <w:p>
      <w:pPr>
        <w:spacing w:after="0" w:line="46" w:lineRule="exact"/>
        <w:rPr>
          <w:rFonts w:ascii="Times New Roman" w:cs="Times New Roman" w:eastAsia="Times New Roman" w:hAnsi="Times New Roman"/>
          <w:sz w:val="18"/>
          <w:szCs w:val="18"/>
          <w:color w:val="auto"/>
        </w:rPr>
      </w:pPr>
    </w:p>
    <w:p>
      <w:pPr>
        <w:ind w:left="260" w:hanging="252"/>
        <w:spacing w:after="0" w:line="242" w:lineRule="auto"/>
        <w:tabs>
          <w:tab w:leader="none" w:pos="2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spacing w:after="0" w:line="69" w:lineRule="exact"/>
        <w:rPr>
          <w:rFonts w:ascii="Times New Roman" w:cs="Times New Roman" w:eastAsia="Times New Roman" w:hAnsi="Times New Roman"/>
          <w:sz w:val="18"/>
          <w:szCs w:val="18"/>
          <w:color w:val="auto"/>
        </w:rPr>
      </w:pPr>
    </w:p>
    <w:p>
      <w:pPr>
        <w:ind w:left="260" w:right="80" w:hanging="252"/>
        <w:spacing w:after="0" w:line="270" w:lineRule="auto"/>
        <w:tabs>
          <w:tab w:leader="none" w:pos="2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76" w:name="page77"/>
    <w:bookmarkEnd w:id="76"/>
    <w:p>
      <w:pPr>
        <w:ind w:left="260" w:right="4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spacing w:after="0" w:line="18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licensing, record keeping, storage and security requirements intended to prevent the unauthorized sale of pharmaceutical products.</w:t>
      </w:r>
    </w:p>
    <w:p>
      <w:pPr>
        <w:spacing w:after="0" w:line="15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spacing w:after="0" w:line="17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financial condition, results of operations and prospects.</w:t>
      </w:r>
    </w:p>
    <w:p>
      <w:pPr>
        <w:spacing w:after="0" w:line="182"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We may attempt to seek approval from the FDA for one or more of our product candidates through the use of the accelerated approval pathway. If we are unable to obtain accelerated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in the future seek an accelerated approval for one or more of our product candidates. Under the accelerated approval pathway, the FDA may approve a product candidate for a serious or life-threatening disease or condition with unmet medical need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Products granted accelerated approval are subject to certain post-marketing requirements, which typically include a requirement to conduct one or more post-approval studies to confirm the clinical benefit of the product. In addition, during the pre-approval review period, FDA regulations require that sponsors of products granted accelerated approval submit copies of all promotional materials intended to be used within 120 days following marketing approval. After 120 days following marketing approval, unless otherwise informed by the FDA, the sponsor must submit all promotional materials at least 30 days prior to use. There can be no assurance that we will be able to use the accelerated approval pathway or any other form of expedited development, review or approval for any of our product candidates. For example,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Also, if any of our competitors were to receive full approval for an indication for which we are seeking accelerated approval before we receive accelerated approval for any one of our product candidates, the indication we are seeking may no longer qualify as a condition for which there is an unmet medical need, and our product candidate may become ineligible for accelerated approval.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77" w:name="page78"/>
    <w:bookmarkEnd w:id="77"/>
    <w:p>
      <w:pPr>
        <w:ind w:right="100"/>
        <w:spacing w:after="0" w:line="247" w:lineRule="auto"/>
        <w:rPr>
          <w:sz w:val="20"/>
          <w:szCs w:val="20"/>
          <w:color w:val="auto"/>
        </w:rPr>
      </w:pPr>
      <w:r>
        <w:rPr>
          <w:rFonts w:ascii="Arial" w:cs="Arial" w:eastAsia="Arial" w:hAnsi="Arial"/>
          <w:sz w:val="18"/>
          <w:szCs w:val="18"/>
          <w:color w:val="auto"/>
        </w:rPr>
        <w:t>A failure to obtain accelerated approval would result in a longer time period to commercialization of such product candidate, if any, could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FDA may withdraw approval of our product using expedited procedures.</w:t>
      </w:r>
    </w:p>
    <w:p>
      <w:pPr>
        <w:spacing w:after="0" w:line="176"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b w:val="1"/>
          <w:bCs w:val="1"/>
          <w:i w:val="1"/>
          <w:iCs w:val="1"/>
          <w:color w:val="auto"/>
        </w:rPr>
        <w:t>We may seek a Breakthrough Therapy or Fast Track designation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marketing approval.</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may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priority review if supported by clinical data at the time the NDA or BLA is submitted to the FDA. The FDA also has a 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the disease or condition. Fast Track designation applies to the combination of the product and the specific indication for which it is being studied.</w:t>
      </w:r>
    </w:p>
    <w:p>
      <w:pPr>
        <w:spacing w:after="0" w:line="18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FDA has broad discretion as to whether or not to grant Breakthrough Therapy or Fast Track designation to any product candidate. Accordingly, even if we believe that a product candidate meets the criteria for designation as a Breakthrough Therapy or a Fast Track designation, the FDA may disagree and instead determine not to make such a designation. Even if we receive a Breakthrough Therapy or Fast Track designation, the receipt of that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for the Fast Track program, the FDA may later decide that it no longer meets the conditions for qualification or decide that the time period for FDA review or approval will not be shortened. The failure to obtain a Breakthrough Therapy or Fast Track designation for any product candidates we may develop, or the inability to maintain that designation for the duration of the applicable period, could reduce our ability to make sufficient sales of the applicable product candidate to balance our expenses incurred to develop it, which would have a negative impact on our operational results and financial condition.</w:t>
      </w:r>
    </w:p>
    <w:p>
      <w:pPr>
        <w:spacing w:after="0" w:line="182"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13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w:t>
      </w:r>
    </w:p>
    <w:p>
      <w:pPr>
        <w:spacing w:after="0" w:line="16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Further, on July 4, 2025, the One Big Beautiful Bill Act, or the OBBBA, was signed into law, which narrowed access to ACA marketplace exchange enrollment and declined to extend the ACA enhanced advanced premium tax credits that expired at the end of 2025, which, among other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78" w:name="page79"/>
    <w:bookmarkEnd w:id="78"/>
    <w:p>
      <w:pPr>
        <w:spacing w:after="0" w:line="247" w:lineRule="auto"/>
        <w:rPr>
          <w:sz w:val="20"/>
          <w:szCs w:val="20"/>
          <w:color w:val="auto"/>
        </w:rPr>
      </w:pPr>
      <w:r>
        <w:rPr>
          <w:rFonts w:ascii="Arial" w:cs="Arial" w:eastAsia="Arial" w:hAnsi="Arial"/>
          <w:sz w:val="18"/>
          <w:szCs w:val="18"/>
          <w:color w:val="auto"/>
        </w:rPr>
        <w:t>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current administration is pursuing policies to reduce regulations and expenditures across government agencies including at HHS, the FDA, CMS and related agencies. These actions, presently directed by executive orders, memoranda or proposed rules from the Office of Management and Budget, may propose policy changes that create additional uncertainty for our business. For example, the current administration has announced agreements with several pharmaceutical companies that require the drug manufacturers to offer Most-Favored Nation pricing equal to or lower than those paid in other developed nations for certain prescription drugs under Medicaid and for certain newly launched products across all market channels in the U.S., with additional mandates for direct-to-patient discounts through a direct to consumer platform, or TrumpRx, and repatriation of certain foreign revenues. In late 2025, HHS proposed three payment models that would test MFN pricing in Medicaid, Medicare Part D, and Medicare Part B. On November 6, 2025, CMS announced the “GENErating cost Reductions fOr U.S.”, or GENEROUS, model under which manufacturers can provide MFN pricing to state Medicaid agencies on a voluntary basis. On December 19, 2025, CMS published proposed rules for two mandatory drug pricing models for Medicare: the “GlobalBenchmark for Efficient Drug Pricing”, or GLOBE, model for products payable under Medicare Part B and the “GuardingU.S. Medicare Against Rising Drug Costs”, or GUARD, model for products covered under Medicare Part D. If GLOBE and GUARD are finalized, pharmaceutical manufacturers would be required to pay MFN-based rebates on eligible products for 25% of eligible Medicare beneficiaries during the applicable testing period.</w:t>
      </w:r>
    </w:p>
    <w:p>
      <w:pPr>
        <w:spacing w:after="0" w:line="1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In addition, the current administration has taken other action that could affect our business such as (1) directing agencies to reduce agency workforce and cut programs; (2) directing HHS and other agencies to lower prescription drug costs through a variety of initiatives; (3) considering the imposition of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Arial" w:cs="Arial" w:eastAsia="Arial" w:hAnsi="Arial"/>
          <w:sz w:val="18"/>
          <w:szCs w:val="18"/>
          <w:i w:val="1"/>
          <w:iCs w:val="1"/>
          <w:color w:val="auto"/>
        </w:rPr>
        <w:t>Loper Bright</w:t>
      </w:r>
      <w:r>
        <w:rPr>
          <w:rFonts w:ascii="Arial" w:cs="Arial" w:eastAsia="Arial" w:hAnsi="Arial"/>
          <w:sz w:val="18"/>
          <w:szCs w:val="18"/>
          <w:color w:val="auto"/>
        </w:rPr>
        <w:t xml:space="preserve">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83"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expect these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It is unclear what impact, if any, the current presidential administration may have on such measures.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81"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product candidates outside of the United States.</w:t>
      </w:r>
    </w:p>
    <w:p>
      <w:pPr>
        <w:spacing w:after="0" w:line="13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in the future.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79" w:name="page80"/>
    <w:bookmarkEnd w:id="79"/>
    <w:p>
      <w:pPr>
        <w:ind w:right="60"/>
        <w:spacing w:after="0" w:line="247" w:lineRule="auto"/>
        <w:rPr>
          <w:sz w:val="20"/>
          <w:szCs w:val="20"/>
          <w:color w:val="auto"/>
        </w:rPr>
      </w:pPr>
      <w:r>
        <w:rPr>
          <w:rFonts w:ascii="Arial" w:cs="Arial" w:eastAsia="Arial" w:hAnsi="Arial"/>
          <w:sz w:val="18"/>
          <w:szCs w:val="18"/>
          <w:color w:val="auto"/>
        </w:rPr>
        <w:t>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176"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The U.S. Congress, the current presidential administration or any new administration may make substantial changes to fiscal, tax, healthcare, trade and other federal policies that may adversely affect our business.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Changes to U.S. policy implemented by the U.S. Congress and new presidential administrations, including the current administration, have impacted and will in the future impact, among other things, the U.S. and global economy, international trade relations, unemployment, immigration, healthcare, taxation, the U.S. regulatory environment, inflation and other areas. For example, since the newest presidential administration has taken office, it has taken significant steps to, among other things, freeze some federal funding and reduce the size of the federal workforce. In addition, the current presidential administration has announced new tariffs on imported materials and goods from certain foreign countries, including Canada, Mexico and China. It is not possible to predict the outcome of this congressional, executive or regulatory activity, any of which could adversely affect us. Similarly, we cannot predict whether pending or future federal or state legislation or court proceedings will change various aspects of current government programs, nor can we predict the impact any changes of this nature will have on our business operations or financial results, but the effects could be materially adverse. In addition, changes in the leadership of the FDA and other federal agencies under the current presidential administration may result in changes in the funding, operations and policies of the FDA and other federal agencies, which may negatively impact, among other things, our clinical development plans, timelines and the cost of product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21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Social media is increasingly being used to communicate about clinical development programs and the diseases our product candidates are being developed to treat. We may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disclosures of this nature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188"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39"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We are subject to U.S. and foreign anti-corruption, anti-money laundering, export control, sanctions and other trade laws and regulations, which are collectively referred to as Trade Laws. Anti-corruption laws generally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expect our non-U.S. activities to increase over time, including the engagement of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expand our operations outside of the United States, we must dedicate additional resources to comply with numerous laws and regulations in each jurisdiction in which we plan to operate. The FCPA prohibits any U.S. persons, as well as their employees, agents and other collaborators, from paying, offering, authorizing payment or offering of anything of value, directly or indirectly, to any foreign official, political party or candidate and other related parties for the purpose of influencing any act or decision of the foreign entity or to obtain, retain, or direct business. The FCPA also obligates companies whose securities are publicly listed in the United States to comply with certain accounting provisions requiring the company to maintain books and records that accurately and fairly reflect all of the company’s transactions, including those of its international subsidiaries, and to devise and maintain an adequate system of internal accounting controls for international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0" w:name="page81"/>
    <w:bookmarkEnd w:id="80"/>
    <w:p>
      <w:pPr>
        <w:ind w:right="100"/>
        <w:spacing w:after="0" w:line="253"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169"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Export control and economic sanctions laws may restrict, or even prohibit, the provision of certain items, technology and services to countries, governments and persons targeted by sanctions programs. Governmental regulation of the import or export of our product candidates, or our failure to obtain any required import or export authorization for our product candidates, when applicable, could harm our operations.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spacing w:after="0" w:line="17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failure to comply with Trade Laws may result in substantial civil and criminal fines and penalties, imprisonment, the loss of trade privileges, suspension or debarment from government contracting, reputational harm and other consequences. The Securities and Exchange Commission, or the SEC, also may suspend or bar issuers from trading securities on U.S. exchanges for violations of the FCPA’s accounting provisions.</w:t>
      </w:r>
    </w:p>
    <w:p>
      <w:pPr>
        <w:spacing w:after="0" w:line="176"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adversely affect our business, financial condition, results of operations and prospects.</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used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0"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5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7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Further, the current presidential administration has undertaken efforts to reduce the size and spending of the federal government. As part of this initiative, the administration has taken action aimed at reducing the workforce of the federal government and eliminating other expenditures, such as facility leases used by the federal government and its component agencies. While these and other actions taken by the current presidential administration could be viewed as a part of a larger goal of de-regulation, a consequence of these developments and other actions taken by the current presidential administration generally could be reduced resources, employees and contractors at the FDA. In addition, these efforts have led to a number of experienced government officials being fired, resigning from or otherwise departing government service, including many with significant institutional knowledge.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81" w:name="page82"/>
    <w:bookmarkEnd w:id="81"/>
    <w:p>
      <w:pPr>
        <w:ind w:right="60"/>
        <w:spacing w:after="0"/>
        <w:rPr>
          <w:sz w:val="20"/>
          <w:szCs w:val="20"/>
          <w:color w:val="auto"/>
        </w:rPr>
      </w:pPr>
      <w:r>
        <w:rPr>
          <w:rFonts w:ascii="Arial" w:cs="Arial" w:eastAsia="Arial" w:hAnsi="Arial"/>
          <w:sz w:val="18"/>
          <w:szCs w:val="18"/>
          <w:color w:val="auto"/>
        </w:rPr>
        <w:t>Disruptions at the FDA and other agencies may also slow the time necessary for new drugs to be reviewed or approved by necessary government agencies, which would adversely affect our business, financial condition, results of operations and prospects. For example, over the last several years, the U.S. government has shut down several times, including most recently for an extended period in 2025, and certain regulatory agencies, such as the FDA, have had to furlough critical employees and stop critical activities. If another prolonged government shutdown occurs or there are other changes which limit the FDA’s ability to perform its necessary activities in a timely manner, it could significantly impact the ability of the FDA to timely review and process our regulatory submissions, which could have a material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Privacy and Information Security</w:t>
      </w:r>
    </w:p>
    <w:p>
      <w:pPr>
        <w:spacing w:after="0" w:line="214"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If our information technology systems, or those used by our CROs, CMOs, clinical sites or other vendors, contractors or consultants with whom we work, or our data, are or were compromised, we could experience adverse consequences resulting from such compromise, including but not limited to regulatory investigations or action, litigation, fines and penalties, disruptions of our business operations, reputational harm and other adverse consequences.</w:t>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the ordinary course of our business, we, and the third parties with whom we work, collect, receive, store, process, generate, use, transfer, disclose, make accessible, protect, secure, dispose of, transmit and share, which we collectively refer to as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which we collectively refer to as sensitive data. As a result, we and the third parties with whom we work face a variety of evolving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information technology systems and those of our CROs, CMOs, clinical sites and other vendors, contractors and consultants with whom we work are vulnerable to cyberattacks, computer viruses, bugs, worms or other malicious codes, malware (including as a result of advanced persistent threat intrusions) and other attacks by computer hackers, brute force attacks, application security attacks, social engineering (including through deep fakes, which may be increasingly more difficult to identify as fake, and phishing attacks), supply chain attacks and vulnerabilities through our third-party service providers, denial-of-service attacks, credential stuffing, credential harvesting, personnel misconduct or error, supply-chain attacks, software bugs, server malfunctions, software or hardware failures, loss of data or other information technology assets, adware, attacks facilitated or enhanced by AI, telecommunications failures, earthquakes, fires, floods and other similar threats. Remote work has increased these risks to our information technology systems and sensitive data, as our employees utilize network connections, computers and devices outside our premises or network, including working at home, while in transit, and in public locations.</w:t>
      </w:r>
    </w:p>
    <w:p>
      <w:pPr>
        <w:spacing w:after="0" w:line="18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These types of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In particular, ransomware attacks, including those from organized criminal threat actors, nation-states and nation-state-supported actors, are becoming increasingly prevalent and severe and can lead to significant interruptions, delays or outages in our operations, loss of sensitive data,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p>
    <w:p>
      <w:pPr>
        <w:spacing w:after="0" w:line="18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During times of war and other major conflicts, we and the third parties with whom we work may be vulnerable to a heightened risk of attacks for geopolitical reasons, including retaliatory cyberattacks, that could materially disrupt our systems and operations, supply chain and ability to continue our research and development efforts or produce, sell and distribute our product candidates, if approved. For example, certain third parties with whom we work to support our business are located in potentially unstable regions and regions experiencing (or expected to experience) geopolitical or other conflicts, including Ukraine, which was attacked by Russia in February 2022 through various means, including cyberattacks. 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2" w:name="page83"/>
    <w:bookmarkEnd w:id="82"/>
    <w:p>
      <w:pPr>
        <w:spacing w:after="0" w:line="247" w:lineRule="auto"/>
        <w:rPr>
          <w:sz w:val="20"/>
          <w:szCs w:val="20"/>
          <w:color w:val="auto"/>
        </w:rPr>
      </w:pPr>
      <w:r>
        <w:rPr>
          <w:rFonts w:ascii="Arial" w:cs="Arial" w:eastAsia="Arial" w:hAnsi="Arial"/>
          <w:sz w:val="18"/>
          <w:szCs w:val="18"/>
          <w:color w:val="auto"/>
        </w:rPr>
        <w:t>Furthermore, future business transactions (such as acquisitions) could expose us to additional cybersecurity risks and vulnerabilities, as our systems could be negatively affected by vulnerabilities present in the systems and technologies of any acquired entities. Additionally, we may discover security issues that were not found during due diligence of such acquired entities, and it may be difficult to integrate companies into our information technology environment and security program.</w:t>
      </w:r>
    </w:p>
    <w:p>
      <w:pPr>
        <w:spacing w:after="0" w:line="174"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7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our reliance on third-party partners could introduce new cybersecurity risks and vulnerabilities. We rely on third-party partners and technologies to operate critical business systems and to process sensitive data in a variety of contexts, including cloud-based infrastructure, encryption and authentication technology, employee email and other functions. We also rely on third-party partners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partners experience a security incident or other interruption, we could experience adverse consequences. While we may be entitled to damages if our third-party service partners fail to satisfy their privacy or security-related obligations to us, any award may be insufficient to cover our damages, or we may be unable to recover any such award. In addition, supply-chain attacks have increased in frequency and severity, and we cannot guarantee that third parties’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actively implement measures designed to identify, protect, detect, respond to and recover from vulnerabilities within our information systems, including those related to hardware, software and third-party providers. Despite our efforts, we have not and may not in the future detect and remediate all such vulnerabilities including on a timely basis. In some cases, we have and may in the future experience delays in developing and deploying necessary remediation measures and security patches. These undetected or unaddressed vulnerabilities could be exploited, potentially leading to security incidents, which could have a material adverse effect on our business, financial condition, results of operations and prospects. For example, we have been the target of unsuccessful phishing attempts in the past and expect such attempts will continue in the future. The introduction of AI has increased the sophistication of incoming attacks. We have introduced new tools to protect Odyssey from evolving threats that target human behavior. At times, however, threat actors evolve more rapidly than the tools meant to protect against them. As such, evolving threats pose a risk to the integrity of our data and cyber infrastructure.</w:t>
      </w:r>
    </w:p>
    <w:p>
      <w:pPr>
        <w:spacing w:after="0" w:line="18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Any of the previously identified or similar threats have in the past and may in the future cause another security incident or other interruption that have in the past and may in the future result in unauthorized, unlawful or accidental acquisition, modification, destruction, loss, alteration, encryption or disclosure of, or access to, our sensitive data or our information technology systems, or those of the third parties with whom we work. A security incident or other interruption could disrupt our ability (and that of third parties with whom we work) to provide our services, including clinical trials, or continue our target discovery programs.</w:t>
      </w:r>
    </w:p>
    <w:p>
      <w:pPr>
        <w:spacing w:after="0" w:line="17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have expended significant resources and modified our business activities (including our clinical trial activities) to try to protect against security incidents and will continue to do so. Certain data privacy and security obligations have required us to implement and maintain specific security measures or industry-standard or reasonable security measures to protect our information technology systems and sensitive data.</w:t>
      </w:r>
    </w:p>
    <w:p>
      <w:pPr>
        <w:spacing w:after="0" w:line="174"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color w:val="auto"/>
        </w:rPr>
        <w:t>The costs related to significant security breaches or disruptions could be material and cause us to incur significant expenses. If the information technology systems of our CROs, CMOs, clinical sites and other vendors,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83" w:name="page84"/>
    <w:bookmarkEnd w:id="83"/>
    <w:p>
      <w:pPr>
        <w:ind w:right="20"/>
        <w:spacing w:after="0" w:line="239" w:lineRule="auto"/>
        <w:rPr>
          <w:sz w:val="20"/>
          <w:szCs w:val="20"/>
          <w:color w:val="auto"/>
        </w:rPr>
      </w:pPr>
      <w:r>
        <w:rPr>
          <w:rFonts w:ascii="Arial" w:cs="Arial" w:eastAsia="Arial" w:hAnsi="Arial"/>
          <w:sz w:val="18"/>
          <w:szCs w:val="18"/>
          <w:color w:val="auto"/>
        </w:rPr>
        <w:t>If any incidents of this nature were to occur and cause interruptions in our operations, it could result in a disruption of our business, operations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sensitive data or applications, or inappropriate disclosure of sensitive data, we could incur liability and the further development of any product candidates could be delayed. Applicable data privacy and security obligations may require us, or we may voluntarily choose, to notify relevant stakeholders, including affected individuals, future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18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or oversight, restrictions on processing sensitive data, litigation, indemnification obligations, negative publicity, reputational harm, monetary fund diversions, diversion of management attention, financial loss and other similar harms. Security incidents and material attendant consequences may negatively impact our ability to grow and operate our business and may result in a loss of confidence in us and our ability to conduct clinical trials, which could delay the clinical development of our product candidates.</w:t>
      </w:r>
    </w:p>
    <w:p>
      <w:pPr>
        <w:spacing w:after="0" w:line="18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contracts may not always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our sensitive data could be leaked, disclosed or revealed as a result of, or in connection with, our employees’, personnel’s or vendors’ use of generative AI and/or automated decision-making technologies.</w:t>
      </w:r>
    </w:p>
    <w:p>
      <w:pPr>
        <w:spacing w:after="0" w:line="181"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Any actual or perceived failure to comply with these obligations could lead to government enforcement actions (which could include civil or criminal penalties), private litigation (including class claims), negative publicity or other adverse consequences that could negatively affect our operating results and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business, we and our partners process sensitive data. As a result, we and our partners are subject to numerous data privacy and security obligations, such as various federal, state and foreign laws and regulations, guidance, industry standards, external and internal privacy and security policies, contractual requirements and other obligations relating to data privacy and security. In the United States, numerous federal, state and local governments have enacted laws and regulations, including state data breach notification laws, state health information privacy laws, federal and state consumer protection laws (e.g., Section 5 of the Federal Trade Commission Act, or the FTCA) and other similar regulations (e.g., wiretapping) that govern the processing of sensitive data, including health-related information. For example, HIPAA, as amended by HITECH, imposes specific requirements relating to the privacy, security and transmission of individually identifiable protected health information.</w:t>
      </w:r>
    </w:p>
    <w:p>
      <w:pPr>
        <w:spacing w:after="0" w:line="18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Even when HIPAA does not apply, according to the FTC failing to take appropriate steps to keep consumers’ personal information secure may constitute unfair acts or practices in or affecting commerce in violation of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Certain states also impose stricter requirements for processing certain personal data, including sensitive information, such as conducting data privacy impact assessments. Failure to comply with these laws, where applicable, can result in significant statutory fines. For example, the California Consumer Privacy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4" w:name="page85"/>
    <w:bookmarkEnd w:id="84"/>
    <w:p>
      <w:pPr>
        <w:ind w:right="20"/>
        <w:spacing w:after="0" w:line="238" w:lineRule="auto"/>
        <w:rPr>
          <w:sz w:val="20"/>
          <w:szCs w:val="20"/>
          <w:color w:val="auto"/>
        </w:rPr>
      </w:pPr>
      <w:r>
        <w:rPr>
          <w:rFonts w:ascii="Arial" w:cs="Arial" w:eastAsia="Arial" w:hAnsi="Arial"/>
          <w:sz w:val="18"/>
          <w:szCs w:val="18"/>
          <w:color w:val="auto"/>
        </w:rPr>
        <w:t>Act of 2018, or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to recover significant statutory damages for certain data breaches, thereby potentially increasing risks associated with a data breach. The CCPA and other comprehensive U.S. state privacy laws exempt some data processed in the context of clinical trials, but these developments may further complicate compliance efforts and increase legal risk and compliance costs for us and the third parties with whom we work. Similar privacy laws are being considered at the federal level,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 The existence of comprehensive privacy laws in different states in the country make our compliance obligations more complex and costly and may increase the likelihood that we may be subject to enforcement actions or otherwise incur liability for noncompliance.</w:t>
      </w:r>
    </w:p>
    <w:p>
      <w:pPr>
        <w:spacing w:after="0" w:line="186"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Outside the United States, an increasing number of laws and regulations, including Australia’s Privacy Act, the European Union’s General Data Protection Regulation, or the EU GDPR, and the United Kingdom’s General Data Protection Regulation, or UK GDPR, and, together with the EU GDPR, the GDPR, also apply to our processing of sensitive data, including health-related and other personal data.</w:t>
      </w:r>
    </w:p>
    <w:p>
      <w:pPr>
        <w:spacing w:after="0" w:line="16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GDPR imposes stringent requirements for processing personal data. The GDPR, together with national legislation, regulations and guidelines of the European Economic Area, or EEA, member states and the United Kingdom governing the processing of personal data,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temporary or definitive bans on data processing, private litigation related to processing of personal data brought by classes of data subjects or consumer protection organizations authorized at law to represent their interests, and potential fines for noncompliance of up to €20 million (£17.5 million) or 4% of the annual global revenues of the noncompliant company, whichever is greater.</w:t>
      </w:r>
    </w:p>
    <w:p>
      <w:pPr>
        <w:spacing w:after="0" w:line="18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we may be unable to transfer personal data from the EEA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United Kingdom to the United States in compliance with law, such as the EEA’s standard contractual clauses, the United Kingdom’s International Data Transfer Agreement / Addendum, and the EU-U.S. Data Privacy Framework, or the Framework, and the United Kingdom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w:t>
      </w:r>
    </w:p>
    <w:p>
      <w:pPr>
        <w:spacing w:after="0" w:line="18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data privacy, data protection and security laws and regulations could result in regulatory investigations, reputational damage and orders to cease or change our use of data, enforcement notices or potential civil claims including class-action-type litigation.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5" w:name="page86"/>
    <w:bookmarkEnd w:id="85"/>
    <w:p>
      <w:pPr>
        <w:ind w:right="100"/>
        <w:spacing w:after="0" w:line="239" w:lineRule="auto"/>
        <w:rPr>
          <w:sz w:val="20"/>
          <w:szCs w:val="20"/>
          <w:color w:val="auto"/>
        </w:rPr>
      </w:pPr>
      <w:r>
        <w:rPr>
          <w:rFonts w:ascii="Arial" w:cs="Arial" w:eastAsia="Arial" w:hAnsi="Arial"/>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spacing w:after="0" w:line="18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employees and personnel use AI modeling and/or automated decision-making tools to assist in our discovery efforts and product development. The disclosure and use of personal data in AI technologies is subject to various privacy laws and other privacy obligations. Governments have passed and are likely to pass additional laws regulating generative AI and/or automated decision-making technologies. Our use of this technology could result in additional compliance costs, regulatory investigations and actions and lawsuits. If we are unable to use AI and/or automated decision-making technologies, our drug discovery efforts may be less efficient and our ability to further expand our pipeline may be impaired.</w:t>
      </w:r>
    </w:p>
    <w:p>
      <w:pPr>
        <w:spacing w:after="0" w:line="17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are bound by other contractual obligations related to data privacy and security, and our efforts to comply with those obligations may not be successful.</w:t>
      </w:r>
    </w:p>
    <w:p>
      <w:pPr>
        <w:spacing w:after="0" w:line="15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publish privacy policies,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misleading, unfair or misrepresentative of our practices, we may be subject to investigation, enforcement actions by regulators or other adverse consequences.</w:t>
      </w:r>
    </w:p>
    <w:p>
      <w:pPr>
        <w:spacing w:after="0" w:line="17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Compliance with U.S. and foreign data privacy and security laws, rules and regulations could require us to take on more onerous obligations in our contracts, require us to engage in costly compliance exercises, restrict our ability to collect, use and disclose sensitive data, or, in some cases, impact our or our partners’ or suppliers’ ability to operate in certain jurisdictions. Each of these constantly evolving laws can be subject to varying interpretations. Any actual or perceived failure to comply with U.S. and foreign data protection laws and regulations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16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6" w:name="page87"/>
    <w:bookmarkEnd w:id="86"/>
    <w:p>
      <w:pPr>
        <w:ind w:right="100"/>
        <w:spacing w:after="0"/>
        <w:rPr>
          <w:sz w:val="20"/>
          <w:szCs w:val="20"/>
          <w:color w:val="auto"/>
        </w:rPr>
      </w:pPr>
      <w:r>
        <w:rPr>
          <w:rFonts w:ascii="Arial" w:cs="Arial" w:eastAsia="Arial" w:hAnsi="Arial"/>
          <w:sz w:val="18"/>
          <w:szCs w:val="18"/>
          <w:color w:val="auto"/>
        </w:rPr>
        <w:t>the timing, quality and other aspects of preclinical studies and clinical trials than we would have if we were to conduct them independently. These parties are not, and will not be, our employees and we will have limited control over the amount of time and resources that they dedicate to our programs. Additionally, these parties may have contractual relationships with other entities (some of whom may be our competitors), which may draw time and resources from our programs. For example, we rely on CROs located or operating in China and Ukraine, among others, to conduct certain of our preclinical research and discovery activities and/or our clinical trials. It is unknown how the status of current or future U.S.-China relations or the ongoing conflict in Ukraine will affect our ability to rely on these CROs to conduct our current and future preclinical studies or clinical trials.</w:t>
      </w:r>
    </w:p>
    <w:p>
      <w:pPr>
        <w:spacing w:after="0" w:line="18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p>
    <w:p>
      <w:pPr>
        <w:spacing w:after="0" w:line="174"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17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If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1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any of our relationships with these third parties terminate, we may not be able to enter into alternative arrangements or do so on commercially reasonable terms. Switching or adding additional contractors or vendors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7" w:right="399" w:bottom="1440" w:gutter="0" w:footer="0" w:header="0"/>
        </w:sectPr>
      </w:pPr>
    </w:p>
    <w:bookmarkStart w:id="87" w:name="page88"/>
    <w:bookmarkEnd w:id="87"/>
    <w:p>
      <w:pPr>
        <w:ind w:right="260"/>
        <w:spacing w:after="0" w:line="242"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181"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p>
    <w:p>
      <w:pPr>
        <w:spacing w:after="0" w:line="16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currently rely, and expect to continue to rely, on third-party contract developers and manufacturers to manufacture bulk drug substances, drug products, raw materials, samples, components and other materials for our product candidates.</w:t>
      </w:r>
    </w:p>
    <w:p>
      <w:pPr>
        <w:spacing w:after="0" w:line="15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Reliance on third-party CMOs may expose us to different risks than if we were to manufacture product candidates ourselves. There can be no assurance that our preclinical and clinical development supplies will not be limited, interrupted, terminated or will be of satisfactory quality or be available at acceptable prices, including as we expand the size and number of clinical trials. In addition, replacing a CMO could require significant effort and time because there may be a limited number of qualified replacements.</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manufacturing process for our product candidates is subject to review by the FDA and other foreign regulatory authorities to the extent applicable. We and our suppliers and manufacturers must meet applicable manufacturing requirements and undergo rigorous facility and process validation tests required by regulatory authorities in order to comply with regulatory standards, such as current good manufacturing practices, or cGMPs. Securing marketing approval also requires the submission of information about the product manufacturing process to, and inspection of manufacturing facilities by, the FDA and foreign regulatory authorities.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If any of our manufacturers fail to comply with those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in a timely manner or on reasonable terms, or at all. In some cases, the technical skills or technology required to manufacture our product candidates may be unique or proprietary to the original manufacturer and we may have difficulty transferring such to another third party.</w:t>
      </w:r>
    </w:p>
    <w:p>
      <w:pPr>
        <w:spacing w:after="0" w:line="18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These factors would increase our reliance on a CMO or require us to obtain a license from that CMO to enable us to manufacture, or to have another third party manufacture, our product candidates. If we are required to change CMOs for any reason, we will be required to verify that the new CMO maintains facilities and procedures that comply with applicable quality standards and regulations and guidelines and we may be required to repeat some of the development program. The delays and costs associated with the verification of a new CMO could negatively affect our ability to develop product candidates in a timely manner or within budget.</w:t>
      </w:r>
    </w:p>
    <w:p>
      <w:pPr>
        <w:spacing w:after="0" w:line="17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expect to continue to rely on third-party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other applicable foreign regulatory authorities could adversely affect our business in a number of ways, including:</w:t>
      </w:r>
    </w:p>
    <w:p>
      <w:pPr>
        <w:spacing w:after="0" w:line="183"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initiate or continue preclinical studies or clinical trials of product candidates;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 delay in submitting regulatory applications, or receiving regulatory approvals, for product candidates;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88" w:name="page89"/>
    <w:bookmarkEnd w:id="88"/>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 loss of the cooperation of existing or future collaborators;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of approval to market and commercialize a product candidate, an inability to meet commercial demands for our products; and</w:t>
      </w:r>
    </w:p>
    <w:p>
      <w:pPr>
        <w:spacing w:after="0" w:line="116" w:lineRule="exact"/>
        <w:rPr>
          <w:rFonts w:ascii="Times New Roman" w:cs="Times New Roman" w:eastAsia="Times New Roman" w:hAnsi="Times New Roman"/>
          <w:sz w:val="18"/>
          <w:szCs w:val="18"/>
          <w:color w:val="auto"/>
        </w:rPr>
      </w:pPr>
    </w:p>
    <w:p>
      <w:pPr>
        <w:ind w:left="260" w:right="200" w:hanging="252"/>
        <w:spacing w:after="0" w:line="242" w:lineRule="auto"/>
        <w:tabs>
          <w:tab w:leader="none" w:pos="2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FCA, corporate integrity agreements, consent decrees or withdrawal of product approval.</w:t>
      </w:r>
    </w:p>
    <w:p>
      <w:pPr>
        <w:spacing w:after="0" w:line="178"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Additionally, our CMOs may experience difficulties due to resource constraints or as a result of labor disputes, unstable political environments, natural disasters, epidemics or outbreaks, among other things. If our CMOs were to encounter any of these difficulties, our ability to provide our product candidates to participants in preclinical and clinical trials, or to provide product for treatment of participants if approved, would be jeopardized.</w:t>
      </w:r>
    </w:p>
    <w:p>
      <w:pPr>
        <w:spacing w:after="0" w:line="176"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The operations of our suppliers, some of which are located outside of the United States, are subject to additional risks that are beyond our control and that could harm our business, financial condition, results of operations and prospects.</w:t>
      </w:r>
    </w:p>
    <w:p>
      <w:pPr>
        <w:spacing w:after="0" w:line="13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Certain of our suppliers are located outside of the United States. As a result, we are subject to risks associated with doing business abroad, including:</w:t>
      </w:r>
    </w:p>
    <w:p>
      <w:pPr>
        <w:spacing w:after="0" w:line="154" w:lineRule="exact"/>
        <w:rPr>
          <w:sz w:val="20"/>
          <w:szCs w:val="20"/>
          <w:color w:val="auto"/>
        </w:rPr>
      </w:pPr>
    </w:p>
    <w:p>
      <w:pPr>
        <w:ind w:left="260" w:right="320" w:hanging="252"/>
        <w:spacing w:after="0" w:line="270" w:lineRule="auto"/>
        <w:tabs>
          <w:tab w:leader="none" w:pos="2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unrest, terrorism, labor disputes and economic instability resulting in the disruption of trade from foreign countries in which our products are manufactured;</w:t>
      </w:r>
    </w:p>
    <w:p>
      <w:pPr>
        <w:spacing w:after="0" w:line="46" w:lineRule="exact"/>
        <w:rPr>
          <w:rFonts w:ascii="Times New Roman" w:cs="Times New Roman" w:eastAsia="Times New Roman" w:hAnsi="Times New Roman"/>
          <w:sz w:val="18"/>
          <w:szCs w:val="18"/>
          <w:color w:val="auto"/>
        </w:rPr>
      </w:pPr>
    </w:p>
    <w:p>
      <w:pPr>
        <w:jc w:val="both"/>
        <w:ind w:left="260" w:hanging="252"/>
        <w:spacing w:after="0" w:line="252" w:lineRule="auto"/>
        <w:tabs>
          <w:tab w:leader="none" w:pos="2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62" w:lineRule="exact"/>
        <w:rPr>
          <w:rFonts w:ascii="Times New Roman" w:cs="Times New Roman" w:eastAsia="Times New Roman" w:hAnsi="Times New Roman"/>
          <w:sz w:val="18"/>
          <w:szCs w:val="18"/>
          <w:color w:val="auto"/>
        </w:rPr>
      </w:pPr>
    </w:p>
    <w:p>
      <w:pPr>
        <w:ind w:left="260" w:right="20" w:hanging="252"/>
        <w:spacing w:after="0" w:line="270" w:lineRule="auto"/>
        <w:tabs>
          <w:tab w:leader="none" w:pos="2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greater challenges and increased costs with enforcing and periodically auditing or reviewing our suppliers’ and manufacturers’ compliance with cGMPs or status acceptable to the FDA or foreign regulatory authorities;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for intellectual property rights, including trademark protection, in some countries;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in operations due to global, regional, or local public health crises or other emergencies or natural disasters;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or delays in shipments; and</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local economic conditions in countries where our manufacturers or suppliers are located.</w:t>
      </w:r>
    </w:p>
    <w:p>
      <w:pPr>
        <w:spacing w:after="0" w:line="2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These and other factors beyond our control could interrupt our suppliers’ production, influence the ability of our suppliers to export our clinical supplies cost-effectively or at all, inhibit our suppliers’ ability to procure certain materials or delay or increase the cost of certain preclinical development programs, any of which could harm our business, financial condition, results of operations and prospects.</w:t>
      </w:r>
    </w:p>
    <w:p>
      <w:pPr>
        <w:spacing w:after="0" w:line="171"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i w:val="1"/>
          <w:iCs w:val="1"/>
          <w:color w:val="auto"/>
        </w:rPr>
        <w:t>We have entered, and may in the future enter into additional, collaborations or licensing arrangements, which are important to our business. If we are unable to enter into new collaborations or licenses, or if we fail to realize the benefits of any current or future collaborations or licensing arrangements, our business, financial condition, results of operations and prospects could be adversely affected.</w:t>
      </w:r>
    </w:p>
    <w:p>
      <w:pPr>
        <w:spacing w:after="0" w:line="16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 key part of our strategy is to strategically evaluate and, as we deem appropriate, enter into collaborations or partnerships, including with major biotechnology or pharmaceutical companies to advance our current or future product candidates. We have previously entered into collaborations with Pfizer, J&amp;J and Terray to conduct various research and development activities. Our agreement with Pfizer expired by its terms in 2025 and, as of the date of this Quarterly Report, we do not anticipate generating any additional revenue from our agreements with either Pfizer or J&amp;J. We have limited capabilities for product development and do not yet have any capability for commercialization. Accordingly, we may continue to enter into collaborations with other companies in the future to provide us with funding for our programs and technology. Any of our existing or future collaborations that we enter into may not be successful. The success of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89" w:name="page90"/>
    <w:bookmarkEnd w:id="89"/>
    <w:p>
      <w:pPr>
        <w:spacing w:after="0" w:line="271" w:lineRule="auto"/>
        <w:rPr>
          <w:sz w:val="20"/>
          <w:szCs w:val="20"/>
          <w:color w:val="auto"/>
        </w:rPr>
      </w:pPr>
      <w:r>
        <w:rPr>
          <w:rFonts w:ascii="Arial" w:cs="Arial" w:eastAsia="Arial" w:hAnsi="Arial"/>
          <w:sz w:val="18"/>
          <w:szCs w:val="18"/>
          <w:color w:val="auto"/>
        </w:rPr>
        <w:t>collaboration arrangements will depend heavily on the efforts and activities of our collaborators. Our current product candidates are designed to address targets that we believe are of high interest to pharmaceutical partners.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current collaborations and any future collaborations we enter into pose a number of risks, including the following:</w:t>
      </w:r>
    </w:p>
    <w:p>
      <w:pPr>
        <w:spacing w:after="0" w:line="212" w:lineRule="exact"/>
        <w:rPr>
          <w:sz w:val="20"/>
          <w:szCs w:val="20"/>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perform their obligations as expected;</w:t>
      </w:r>
    </w:p>
    <w:p>
      <w:pPr>
        <w:spacing w:after="0" w:line="116" w:lineRule="exact"/>
        <w:rPr>
          <w:rFonts w:ascii="Times New Roman" w:cs="Times New Roman" w:eastAsia="Times New Roman" w:hAnsi="Times New Roman"/>
          <w:sz w:val="18"/>
          <w:szCs w:val="18"/>
          <w:color w:val="auto"/>
        </w:rPr>
      </w:pPr>
    </w:p>
    <w:p>
      <w:pPr>
        <w:ind w:left="260" w:right="100" w:hanging="252"/>
        <w:spacing w:after="0" w:line="246"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spacing w:after="0" w:line="68" w:lineRule="exact"/>
        <w:rPr>
          <w:rFonts w:ascii="Times New Roman" w:cs="Times New Roman" w:eastAsia="Times New Roman" w:hAnsi="Times New Roman"/>
          <w:sz w:val="18"/>
          <w:szCs w:val="18"/>
          <w:color w:val="auto"/>
        </w:rPr>
      </w:pPr>
    </w:p>
    <w:p>
      <w:pPr>
        <w:ind w:left="260" w:right="440" w:hanging="252"/>
        <w:spacing w:after="0" w:line="270"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6" w:lineRule="exact"/>
        <w:rPr>
          <w:rFonts w:ascii="Times New Roman" w:cs="Times New Roman" w:eastAsia="Times New Roman" w:hAnsi="Times New Roman"/>
          <w:sz w:val="18"/>
          <w:szCs w:val="18"/>
          <w:color w:val="auto"/>
        </w:rPr>
      </w:pPr>
    </w:p>
    <w:p>
      <w:pPr>
        <w:ind w:left="260" w:right="40" w:hanging="252"/>
        <w:spacing w:after="0" w:line="252"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2" w:lineRule="exact"/>
        <w:rPr>
          <w:rFonts w:ascii="Times New Roman" w:cs="Times New Roman" w:eastAsia="Times New Roman" w:hAnsi="Times New Roman"/>
          <w:sz w:val="18"/>
          <w:szCs w:val="18"/>
          <w:color w:val="auto"/>
        </w:rPr>
      </w:pPr>
    </w:p>
    <w:p>
      <w:pPr>
        <w:ind w:left="260" w:right="140" w:hanging="252"/>
        <w:spacing w:after="0" w:line="270"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w:t>
      </w:r>
    </w:p>
    <w:p>
      <w:pPr>
        <w:spacing w:after="0" w:line="46" w:lineRule="exact"/>
        <w:rPr>
          <w:rFonts w:ascii="Times New Roman" w:cs="Times New Roman" w:eastAsia="Times New Roman" w:hAnsi="Times New Roman"/>
          <w:sz w:val="18"/>
          <w:szCs w:val="18"/>
          <w:color w:val="auto"/>
        </w:rPr>
      </w:pPr>
    </w:p>
    <w:p>
      <w:pPr>
        <w:ind w:left="260" w:right="80" w:hanging="252"/>
        <w:spacing w:after="0" w:line="252"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spacing w:after="0" w:line="62" w:lineRule="exact"/>
        <w:rPr>
          <w:rFonts w:ascii="Times New Roman" w:cs="Times New Roman" w:eastAsia="Times New Roman" w:hAnsi="Times New Roman"/>
          <w:sz w:val="18"/>
          <w:szCs w:val="18"/>
          <w:color w:val="auto"/>
        </w:rPr>
      </w:pPr>
    </w:p>
    <w:p>
      <w:pPr>
        <w:ind w:left="260" w:right="760" w:hanging="252"/>
        <w:spacing w:after="0" w:line="270"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46" w:lineRule="exact"/>
        <w:rPr>
          <w:rFonts w:ascii="Times New Roman" w:cs="Times New Roman" w:eastAsia="Times New Roman" w:hAnsi="Times New Roman"/>
          <w:sz w:val="18"/>
          <w:szCs w:val="18"/>
          <w:color w:val="auto"/>
        </w:rPr>
      </w:pPr>
    </w:p>
    <w:p>
      <w:pPr>
        <w:ind w:left="260" w:right="520" w:hanging="252"/>
        <w:spacing w:after="0" w:line="252"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w:t>
      </w:r>
    </w:p>
    <w:p>
      <w:pPr>
        <w:spacing w:after="0" w:line="62" w:lineRule="exact"/>
        <w:rPr>
          <w:rFonts w:ascii="Times New Roman" w:cs="Times New Roman" w:eastAsia="Times New Roman" w:hAnsi="Times New Roman"/>
          <w:sz w:val="18"/>
          <w:szCs w:val="18"/>
          <w:color w:val="auto"/>
        </w:rPr>
      </w:pPr>
    </w:p>
    <w:p>
      <w:pPr>
        <w:ind w:left="260" w:right="500" w:hanging="252"/>
        <w:spacing w:after="0" w:line="270"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6" w:lineRule="exact"/>
        <w:rPr>
          <w:rFonts w:ascii="Times New Roman" w:cs="Times New Roman" w:eastAsia="Times New Roman" w:hAnsi="Times New Roman"/>
          <w:sz w:val="18"/>
          <w:szCs w:val="18"/>
          <w:color w:val="auto"/>
        </w:rPr>
      </w:pPr>
    </w:p>
    <w:p>
      <w:pPr>
        <w:ind w:left="260" w:right="140" w:hanging="252"/>
        <w:spacing w:after="0" w:line="246"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seek to amend or modify the terms of any collaboration;</w:t>
      </w:r>
    </w:p>
    <w:p>
      <w:pPr>
        <w:spacing w:after="0" w:line="116" w:lineRule="exact"/>
        <w:rPr>
          <w:rFonts w:ascii="Times New Roman" w:cs="Times New Roman" w:eastAsia="Times New Roman" w:hAnsi="Times New Roman"/>
          <w:sz w:val="18"/>
          <w:szCs w:val="18"/>
          <w:color w:val="auto"/>
        </w:rPr>
      </w:pPr>
    </w:p>
    <w:p>
      <w:pPr>
        <w:ind w:left="260" w:right="580" w:hanging="252"/>
        <w:spacing w:after="0" w:line="252"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16" w:lineRule="exact"/>
        <w:rPr>
          <w:rFonts w:ascii="Times New Roman" w:cs="Times New Roman" w:eastAsia="Times New Roman" w:hAnsi="Times New Roman"/>
          <w:sz w:val="18"/>
          <w:szCs w:val="18"/>
          <w:color w:val="auto"/>
        </w:rPr>
      </w:pPr>
    </w:p>
    <w:p>
      <w:pPr>
        <w:ind w:left="260" w:right="40" w:hanging="252"/>
        <w:spacing w:after="0" w:line="270" w:lineRule="auto"/>
        <w:tabs>
          <w:tab w:leader="none" w:pos="2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future commercialization of any product candidate licensed to it by us.</w:t>
      </w:r>
    </w:p>
    <w:p>
      <w:pPr>
        <w:spacing w:after="0" w:line="15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we are owed under such collaboration and could be required to raise additional capital to pursue further development or future commercialization of the applicable product candidates. Additionally, if one of our collaborators terminates its agreement with us, we may lose rights that are important to our business or find it more difficult to attract new collaborators, and our perception in the business and financial communities could be adversely affected.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90" w:name="page91"/>
    <w:bookmarkEnd w:id="90"/>
    <w:p>
      <w:pPr>
        <w:ind w:right="280"/>
        <w:spacing w:after="0" w:line="247" w:lineRule="auto"/>
        <w:rPr>
          <w:sz w:val="20"/>
          <w:szCs w:val="20"/>
          <w:color w:val="auto"/>
        </w:rPr>
      </w:pPr>
      <w:r>
        <w:rPr>
          <w:rFonts w:ascii="Arial" w:cs="Arial" w:eastAsia="Arial" w:hAnsi="Arial"/>
          <w:sz w:val="18"/>
          <w:szCs w:val="18"/>
          <w:color w:val="auto"/>
        </w:rPr>
        <w:t>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w:t>
      </w:r>
    </w:p>
    <w:p>
      <w:pPr>
        <w:spacing w:after="0" w:line="17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p>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financial condition, results of operations and prospects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or disclosure controls, we may not be able to accurately report our financial results or prevent fraud. As a result, stockholders could lose confidence in our financial and other public reporting, which is likely to negatively affect our business and the market price of our common stock.</w:t>
      </w:r>
    </w:p>
    <w:p>
      <w:pPr>
        <w:spacing w:after="0" w:line="15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a public company, we are subject to the periodic reporting requirements of the Exchange Act and the Sarbanes-Oxley Act of 2002, or the Sarbanes-Oxley Act, which requires that we maintain effective disclosure controls and procedures and internal control over financial reporting. Internal control over financial reporting is a process designed to provide reasonable assurance regarding the reliability of financial reporting and the preparation of financial statements in accordance with accounting principles generally accepted in the United States. Effective internal control over financial reporting and disclosure controls are necessary for us to provide reliable financial reports, prevent fraud and comply with our Exchange Act reporting obligations, and efforts to ensure that there are effective internal control over financial reporting and disclosure controls are costly, time-consuming, and need to be re-evaluated frequently. In addition, any testing conducted by us, or any testing conducted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18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must also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failure to remediate any material weakness or develop or maintain effective controls when we become subject to this requirement could negatively affect the results of periodic management evaluations regarding the effectiveness of our internal control over financial reporting that we will be required to include in our periodic reports we will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as a result. In addition, if we are unable to continue to meet these requirements, we may be delisted from Nasdaq.</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until the later of (i) our second annual report or (ii) the first annual report required to be filed with the SEC following the date we are no longer an “emerging growth company,” as defined in the JOBS Act or a “smaller reporting company” as defined by the SEC.</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we may not be able to produce timely and accurate financial statements or detect acts of fraud.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could result in substantial losses for investors.</w:t>
      </w:r>
    </w:p>
    <w:p>
      <w:pPr>
        <w:spacing w:after="0" w:line="21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54" w:lineRule="exact"/>
        <w:rPr>
          <w:sz w:val="20"/>
          <w:szCs w:val="20"/>
          <w:color w:val="auto"/>
        </w:rPr>
      </w:pPr>
    </w:p>
    <w:p>
      <w:pPr>
        <w:ind w:left="260" w:right="260" w:hanging="252"/>
        <w:spacing w:after="0" w:line="270" w:lineRule="auto"/>
        <w:tabs>
          <w:tab w:leader="none" w:pos="2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our preclinical studies and clinical trials, and the results of trials of our competitors or those of other companies in our market sector;</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and instability in the financial and capital markets;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7" w:right="399" w:bottom="1440" w:gutter="0" w:footer="0" w:header="0"/>
        </w:sectPr>
      </w:pPr>
    </w:p>
    <w:bookmarkStart w:id="92" w:name="page93"/>
    <w:bookmarkEnd w:id="92"/>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competitors that impact our competitive outlook;</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with respect to our product candidates, or similar products or product candidates against which we compete;</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discover, develop, acquire or in-license additional current or future product candidates;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personnel;</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with respect to patents or other intellectual property rights;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technological innovations, new product candidates, new products or new contracts by us or our competitors;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relating to strategic transactions, including acquisitions, dispositions, collaborations, licenses or similar arrangements;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financial estimates by equity research analysts and whether our earnings (or losses) meet or exceed such estimates;</w:t>
      </w:r>
    </w:p>
    <w:p>
      <w:pPr>
        <w:spacing w:after="0" w:line="116" w:lineRule="exact"/>
        <w:rPr>
          <w:rFonts w:ascii="Times New Roman" w:cs="Times New Roman" w:eastAsia="Times New Roman" w:hAnsi="Times New Roman"/>
          <w:sz w:val="18"/>
          <w:szCs w:val="18"/>
          <w:color w:val="auto"/>
        </w:rPr>
      </w:pPr>
    </w:p>
    <w:p>
      <w:pPr>
        <w:ind w:left="260" w:right="620" w:hanging="252"/>
        <w:spacing w:after="0" w:line="270" w:lineRule="auto"/>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 and receipt, or lack of receipt, of funding in support of conducting our business;</w:t>
      </w:r>
    </w:p>
    <w:p>
      <w:pPr>
        <w:spacing w:after="0" w:line="46" w:lineRule="exact"/>
        <w:rPr>
          <w:rFonts w:ascii="Times New Roman" w:cs="Times New Roman" w:eastAsia="Times New Roman" w:hAnsi="Times New Roman"/>
          <w:sz w:val="18"/>
          <w:szCs w:val="18"/>
          <w:color w:val="auto"/>
        </w:rPr>
      </w:pPr>
    </w:p>
    <w:p>
      <w:pPr>
        <w:ind w:left="260" w:right="40" w:hanging="252"/>
        <w:spacing w:after="0" w:line="270" w:lineRule="auto"/>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sales or the perception of potential sales of our common stock by us, our insiders, or other stockholders, or issuances by us of shares of our common stock in connection with strategic transactions;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of market standoff or lock-up agreements described in the section of the IPO Prospectus titled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within, and outside of, the United States, including 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arbitration;</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pandemics, natural disasters or major catastrophic events; and</w:t>
      </w:r>
    </w:p>
    <w:p>
      <w:pPr>
        <w:spacing w:after="0" w:line="116" w:lineRule="exact"/>
        <w:rPr>
          <w:rFonts w:ascii="Times New Roman" w:cs="Times New Roman" w:eastAsia="Times New Roman" w:hAnsi="Times New Roman"/>
          <w:sz w:val="18"/>
          <w:szCs w:val="18"/>
          <w:color w:val="auto"/>
        </w:rPr>
      </w:pPr>
    </w:p>
    <w:p>
      <w:pPr>
        <w:ind w:left="260" w:right="440" w:hanging="252"/>
        <w:spacing w:after="0" w:line="270" w:lineRule="auto"/>
        <w:tabs>
          <w:tab w:leader="none" w:pos="2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political and market conditions and other factors, including any such changes specific to the pharmaceutical and biotechnology sectors.</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directors or officers may be subject to securities litigation, which is expensive and could divert management attention.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may be the target of securities litigation in the future, including based on volatility in the market price of our stock. The stock market in general, and Nasdaq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Our directors or officers may in the future also become involved in securities or other litigation in the context of any roles with other public companies. Securities litigation (including the cost to defend against, and any potential adverse outcome resulting from, any such proceeding) can be expensive and time-consuming, damage our reputation and divert our management’s and board of directors’ attention from other business concerns, which could seriously harm our business, financial condition, results of operations and prospects.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79" w:right="459" w:bottom="1440" w:gutter="0" w:footer="0" w:header="0"/>
        </w:sectPr>
      </w:pPr>
    </w:p>
    <w:bookmarkStart w:id="93" w:name="page94"/>
    <w:bookmarkEnd w:id="93"/>
    <w:p>
      <w:pPr>
        <w:ind w:right="80"/>
        <w:spacing w:after="0" w:line="278" w:lineRule="auto"/>
        <w:rPr>
          <w:sz w:val="20"/>
          <w:szCs w:val="20"/>
          <w:color w:val="auto"/>
        </w:rPr>
      </w:pPr>
      <w:r>
        <w:rPr>
          <w:rFonts w:ascii="Arial" w:cs="Arial" w:eastAsia="Arial" w:hAnsi="Arial"/>
          <w:sz w:val="18"/>
          <w:szCs w:val="18"/>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13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expect our operating results to be subject to quarterly and annual fluctuations that may, in turn, cause the price of our common stock to fluctuate substantially. Our net loss and other operating results will be affected by numerous factors, including, among other things, the results and timing of preclinical studies and ongoing and future clinical trials, or the addition or termination of any such preclinical studies or clinical trials.</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17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dividends on our capital stock in the foreseeable future, capital appreciation, if any, will be your sole source of gain.</w:t>
      </w:r>
    </w:p>
    <w:p>
      <w:pPr>
        <w:spacing w:after="0" w:line="13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without stockholder approval.</w:t>
      </w:r>
    </w:p>
    <w:p>
      <w:pPr>
        <w:spacing w:after="0" w:line="21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Certificate of Incorporation authorizes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may engage in a variety of strategic transactions, including acquisitions, dispositions, joint ventures or making investments in other companies or technologies, that could negatively affect our operating results, dilute our stockholders’ ownership, create or increase indebtedness or cause us to incur significant expense.</w:t>
      </w:r>
    </w:p>
    <w:p>
      <w:pPr>
        <w:spacing w:after="0" w:line="15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As part of our business strategy, we may pursue acquisitions of assets or licenses of assets, including preclinical, clinical or commercial stage products or product candidates, or businesses, dispose of certain of our product candidates or businesses and enter into strategic alliances, joint ventures and collaborations, all in order to expand our existing technologies and operations or otherwise generate capital to advance our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Any potential transaction may entail numerous risks, including:</w:t>
      </w:r>
    </w:p>
    <w:p>
      <w:pPr>
        <w:spacing w:after="0" w:line="212" w:lineRule="exact"/>
        <w:rPr>
          <w:sz w:val="20"/>
          <w:szCs w:val="20"/>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contractual obligations or contingent liabilities;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260" w:hanging="252"/>
        <w:spacing w:after="0" w:line="270" w:lineRule="auto"/>
        <w:tabs>
          <w:tab w:leader="none" w:pos="2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programs and initiatives in pursuing a strategic transaction;</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260" w:right="720" w:hanging="252"/>
        <w:spacing w:after="0" w:line="270" w:lineRule="auto"/>
        <w:tabs>
          <w:tab w:leader="none" w:pos="2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9" w:right="359" w:bottom="1440" w:gutter="0" w:footer="0" w:header="0"/>
        </w:sectPr>
      </w:pPr>
    </w:p>
    <w:bookmarkStart w:id="94" w:name="page95"/>
    <w:bookmarkEnd w:id="94"/>
    <w:p>
      <w:pPr>
        <w:ind w:left="260" w:right="220" w:hanging="252"/>
        <w:spacing w:after="0" w:line="270" w:lineRule="auto"/>
        <w:tabs>
          <w:tab w:leader="none" w:pos="2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If we engage in a disposition, we may have difficulty replacing the assets we sold or in separating our continuing operations from those of the business we sold.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spacing w:after="0" w:line="18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To finance certain transactions, we may issue dilutive securities, assume or incur debt obligations, incur large one-time expenses or acquire intangible assets that could result in significant amortization expense. If the price of our common stock is low or volatile, we may not be able to acquire other companies or fund a joint venture project using our common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81"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15,500,000 shares of our common stock sold in our IPO (unless they were purchased by one of our affiliates) are freely tradable, without restriction, in the public market.</w:t>
      </w:r>
    </w:p>
    <w:p>
      <w:pPr>
        <w:spacing w:after="0" w:line="15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directors and executive officers and holders of substantially all of our outstanding securities have entered into lock-up agreements with the underwriters and/or are subject to market standoff agreements or other agreements with us pursuant to which they may not, with certain exceptions, for a period of 180 days from the date of the IPO Prospectus, offer, sell or otherwise transfer or dispose of any of our securities, without the prior written consent of the representatives of the underwriters. However, the representatives may permit our officers, directors and other security holders who are subject to the lock-up and market standoff agreements to sell shares prior to the expiration of the lock-up and market standoff agreements at any time in their sole discretion. See the section of the IPO Prospectus titled “</w:t>
      </w:r>
      <w:r>
        <w:rPr>
          <w:rFonts w:ascii="Arial" w:cs="Arial" w:eastAsia="Arial" w:hAnsi="Arial"/>
          <w:sz w:val="18"/>
          <w:szCs w:val="18"/>
          <w:i w:val="1"/>
          <w:iCs w:val="1"/>
          <w:color w:val="auto"/>
        </w:rPr>
        <w:t>Underwriting</w:t>
      </w:r>
      <w:r>
        <w:rPr>
          <w:rFonts w:ascii="Arial" w:cs="Arial" w:eastAsia="Arial" w:hAnsi="Arial"/>
          <w:sz w:val="18"/>
          <w:szCs w:val="18"/>
          <w:color w:val="auto"/>
        </w:rPr>
        <w:t>.” Sales of these shares, or perceptions that they will be sold, could cause the trading price of our common stock to decline. After the lock-up and market standoff agreements expire, an additional 27,098,614 shares of our common stock will be eligible for sale in the public market, of which 999,814 shares are held by directors, executive officers and other affiliates and will be subject to volume limitations under Rule 144 under the Securities Act.</w:t>
      </w:r>
    </w:p>
    <w:p>
      <w:pPr>
        <w:spacing w:after="0" w:line="18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addition, the 4,631,713 shares of our common stock that are subject to outstanding options under the 2021 Plan as of December 31, 2025 became eligible for sale in the public market after our IPO, to the extent permitted by the provisions of various vesting schedules, the lock-up and market standoff agreements (and the exceptions thereto) and Rule 144 and Rule 701 under the Securities Act. If these additional shares of our common stock are sold, or if it is perceived that they will be sold, in the public market, the trading price of our common stock could decline.</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holders of 29,662,867 shares of our outstanding common stock, or approximately 59.9% of our total outstanding common stock following our IPO, have certain rights with respect to the registration of their shares under the Securities Act, subject to the lock-up and market standoff agreements described above. Registration of these shares under the Securities Act would result in the shares becoming freely tradable without restriction under the Securities Act. Any sales of securities by these stockholders could adversely affect the trading price of our common stock.</w:t>
      </w:r>
    </w:p>
    <w:p>
      <w:pPr>
        <w:spacing w:after="0" w:line="17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or exercisable for common stock, in connection with a financing, acquisition, employee arrangement, or otherwise.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Any such issuance could result in substantial dilution to our existing stockholders and could cause the price of our common stock to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may arise because some members of our board of directors are representatives of our principal stockholders.</w:t>
      </w:r>
    </w:p>
    <w:p>
      <w:pPr>
        <w:spacing w:after="0" w:line="21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spacing w:after="0" w:line="17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control matters subject to stockholder approval.</w:t>
      </w:r>
    </w:p>
    <w:p>
      <w:pPr>
        <w:spacing w:after="0" w:line="13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Following our IPO, our executive officers and directors collectively own a significant percentage of our outstanding voting stock. As a result, any stockholders who own more than 5% or more of our capital stock,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our change of control, even if a change of control would benefit our other stockholders, which could deprive our stockholders of an opportunity to receive a premium for their common stock as part of a sale of the company or of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5"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and resources to new compliance initiatives.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the listing requirements of Nasdaq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 and other finance personnel or consultants in order to develop and implement appropriate internal control and reporting procedures, which will increase our costs and expenses.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96" w:name="page97"/>
    <w:bookmarkEnd w:id="96"/>
    <w:p>
      <w:pPr>
        <w:ind w:right="40"/>
        <w:spacing w:after="0" w:line="239"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182"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Our ability to use our net operating loss, or NOL, carryforwards and certain other tax attributes to offset taxable income or taxes may be limited.</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As of December 31, 2025, we had U.S. federal NOL carryforwards of approximately $240.4 million and research and development credits of approximately $16.8 million, and state NOL carryforwards of approximately $171.0 million and research and development credits of approximately $7.4 million. Under the Internal Revenue Code of 1986, as amended, or the Code, our U.S. federal NOL carryforwards will not expire and may be carried forward indefinitely but the deductibility of such NOL carryforwards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completed several fundraises in recent years, increasing the likelihood that there have been changes in our ownership that would limit our ability to utilize our tax attribute carryforwards. Furthermore, there may be additional ownership changes in the future, some of which may be outside of our control. If we have undergone or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our state taxes owed. As a result, even if we attain profitability, we may be unable to use all or a material portion of our NOL carryforwards and other tax attributes, which could adversely affect our future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changes to tax laws could materially adversely affect us.</w:t>
      </w:r>
    </w:p>
    <w:p>
      <w:pPr>
        <w:spacing w:after="0" w:line="21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 For example, the Tax Cuts and Jobs Act of 2017, the Coronavirus Aid, Relief, and Economic Security Act, the Inflation Reduction Act of 2022, or the IRA, and the OBBBA enacted many significant changes to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7" w:name="page98"/>
    <w:bookmarkEnd w:id="97"/>
    <w:p>
      <w:pPr>
        <w:ind w:right="360"/>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our election of reduced reporting requirements applicable to emerging growth companies and smaller reporting companies may make our common stock less attractive to investors.</w:t>
      </w:r>
    </w:p>
    <w:p>
      <w:pPr>
        <w:spacing w:after="0" w:line="15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Quarterly Report and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our IPO, although circumstances could cause us to lose that status earlier, including if we are deemed to be a “large accelerated filer,” which occurs when the market value of our common stock that is held by non-affiliates exceeds $ 700.0 million, measured on the last business day of our second fiscal quarter, or if we have total annual gross revenue of $1.235 billion or more during any fiscal year, in which cases we would no longer be an emerging growth company as of the last day of the fiscal year, or if we issue more than $1.0 billion in non-convertible debt during any three-year period before that time, in which case we would no longer be an emerging growth company immediately.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are also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21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under Delaware law could prevent or delay an acquisition of us that may be beneficial to our stockholders, and may prevent attempts by our stockholders to replace or remove our current management.</w:t>
      </w:r>
    </w:p>
    <w:p>
      <w:pPr>
        <w:spacing w:after="0" w:line="15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Each of our Certificate of Incorporation and Bylaws contain provisions that could delay or prevent a change in control of Odyssey.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69" w:lineRule="exact"/>
        <w:rPr>
          <w:sz w:val="20"/>
          <w:szCs w:val="20"/>
          <w:color w:val="auto"/>
        </w:rPr>
      </w:pPr>
    </w:p>
    <w:p>
      <w:pPr>
        <w:ind w:left="260" w:right="220" w:hanging="252"/>
        <w:spacing w:after="0" w:line="270" w:lineRule="auto"/>
        <w:tabs>
          <w:tab w:leader="none" w:pos="26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staggered board of directors divided into three classes serving staggered three-year terms, such that not all members of our board of directors will be elected at one time;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98" w:name="page99"/>
    <w:bookmarkEnd w:id="98"/>
    <w:p>
      <w:pPr>
        <w:ind w:left="260" w:right="240" w:hanging="252"/>
        <w:spacing w:after="0" w:line="252" w:lineRule="auto"/>
        <w:tabs>
          <w:tab w:leader="none" w:pos="2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spacing w:after="0" w:line="6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eliminate the ability of our stockholders to fill vacancies on our board of directors;</w:t>
      </w:r>
    </w:p>
    <w:p>
      <w:pPr>
        <w:spacing w:after="0" w:line="116" w:lineRule="exact"/>
        <w:rPr>
          <w:rFonts w:ascii="Times New Roman" w:cs="Times New Roman" w:eastAsia="Times New Roman" w:hAnsi="Times New Roman"/>
          <w:sz w:val="18"/>
          <w:szCs w:val="18"/>
          <w:color w:val="auto"/>
        </w:rPr>
      </w:pPr>
    </w:p>
    <w:p>
      <w:pPr>
        <w:ind w:left="260" w:right="340" w:hanging="252"/>
        <w:spacing w:after="0" w:line="270" w:lineRule="auto"/>
        <w:tabs>
          <w:tab w:leader="none" w:pos="2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our annual stockholder meetings;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permit our board of directors to establish the number of directors;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our board of directors is expressly authorized to make, alter or repeal our Bylaws;</w:t>
      </w:r>
    </w:p>
    <w:p>
      <w:pPr>
        <w:spacing w:after="0" w:line="116" w:lineRule="exact"/>
        <w:rPr>
          <w:rFonts w:ascii="Times New Roman" w:cs="Times New Roman" w:eastAsia="Times New Roman" w:hAnsi="Times New Roman"/>
          <w:sz w:val="18"/>
          <w:szCs w:val="18"/>
          <w:color w:val="auto"/>
        </w:rPr>
      </w:pPr>
    </w:p>
    <w:p>
      <w:pPr>
        <w:ind w:left="260" w:right="460" w:hanging="252"/>
        <w:spacing w:after="0" w:line="270" w:lineRule="auto"/>
        <w:tabs>
          <w:tab w:leader="none" w:pos="2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can remove directors only for cause and only upon the approval of not less than 66-2/3% of all outstanding shares of our capital stock entitled to vote generally in the election of directors, voting as a single class;</w:t>
      </w:r>
    </w:p>
    <w:p>
      <w:pPr>
        <w:spacing w:after="0" w:line="46" w:lineRule="exact"/>
        <w:rPr>
          <w:rFonts w:ascii="Times New Roman" w:cs="Times New Roman" w:eastAsia="Times New Roman" w:hAnsi="Times New Roman"/>
          <w:sz w:val="18"/>
          <w:szCs w:val="18"/>
          <w:color w:val="auto"/>
        </w:rPr>
      </w:pPr>
    </w:p>
    <w:p>
      <w:pPr>
        <w:ind w:left="260" w:right="220" w:hanging="252"/>
        <w:spacing w:after="0" w:line="252" w:lineRule="auto"/>
        <w:tabs>
          <w:tab w:leader="none" w:pos="2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not less than 66-2/3% of all outstanding shares of our capital stock entitled to vote generally in the election of directors, voting as a single class, for a stockholder amendment to our Bylaws (absent approval of our board of directors) and to amend specific provisions of our Certificate of Incorporation; and</w:t>
      </w:r>
    </w:p>
    <w:p>
      <w:pPr>
        <w:spacing w:after="0" w:line="6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specify the jurisdictions in which certain stockholder litigation may be brought.</w:t>
      </w:r>
    </w:p>
    <w:p>
      <w:pPr>
        <w:spacing w:after="0" w:line="22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Section 203 of General Corporation Law of the State of Delaware, or the DGCL, may discourage, delay or prevent a change in control of us. Section 203 imposes certain restrictions on mergers, business combinations and other transactions between us and holders of 15% or more of our common stock.</w:t>
      </w:r>
    </w:p>
    <w:p>
      <w:pPr>
        <w:spacing w:after="0" w:line="17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5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Certificate of Incorporation provides that, to the fullest extent permitted by law, derivative actions brought in our name or actions against directors, officers and employees for breach of fiduciary duty, arising pursuant to any provision of the DGCL, our Certificate of Incorporation or Bylaws, or governed by the internal affairs doctrine, or actions brought by stockholders that do not constitute internal corporate claims under the DGCL, if such claim relates to our business, the conduct of our affairs, or our rights or powers or our stockholders, directors or officers,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In addition, our Certificate of Incorporation designates the federal district courts of the United States as the exclusive forum for resolving any complaint asserting a cause of action arising under the Securities Act; however, such exclusive forum provision does not apply to claims brought to enforce a duty or liability created by the Exchange Act. The validity and enforceability of such provision is uncertain in a number of courts other than the Delaware Supreme Court and certain other state courts.</w:t>
      </w:r>
    </w:p>
    <w:p>
      <w:pPr>
        <w:spacing w:after="0" w:line="18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promulgated thereunder.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99" w:name="page100"/>
    <w:bookmarkEnd w:id="99"/>
    <w:p>
      <w:pPr>
        <w:ind w:right="104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13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frequency of or content and opinions included in their reports and may never obtain research coverage by securities and industry analysts. If no or few securities or industry analysts commence coverage of us, or if analysts cease coverage of us or do not publish reports on us on a regular basis,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Set forth below is information regarding securities we have issued within the past three years that were not registered under the Securities Act.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Recent Sales of Unregistered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Issuances</w:t>
      </w:r>
    </w:p>
    <w:p>
      <w:pPr>
        <w:spacing w:after="0" w:line="10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On October 25, 2023, we entered into the Series C Preferred Stock Purchase Agreement with a number of investors named therein. We subsequently entered into Amendment No. 1 thereto, dated November 28, 2023, Amendment No. 2 thereto, dated January 18, 2024, Amendment No. 3 thereto, dated April 30, 2024, Amendment No. 4 thereto, dated July 17, 2024, and Amendment No. 5 thereto, dated August 6, 2024. In multiple closings held between October 2023 and August 2024, we issued and sold an aggregate of 23,442,000 shares of our Series C convertible preferred stock at a purchase price of $5.00 per share for an aggregate purchase price of approximately $117.2 million, which we refer to as the Series C Preferred Stock Financing.</w:t>
      </w:r>
    </w:p>
    <w:p>
      <w:pPr>
        <w:spacing w:after="0" w:line="7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On November 22, 2024, we entered into a Series C-1 Preferred Stock Purchase Agreement with an investor named therein, pursuant to which we sold an aggregate of 1,459,598 shares of our Series C-1 convertible preferred stock at a purchase price of $5.1384 per share for an aggregate purchase price of approximately $7.5 million, which we refer to as the Series C-1 Preferred Stock Financing.</w:t>
      </w:r>
    </w:p>
    <w:p>
      <w:pPr>
        <w:spacing w:after="0" w:line="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June 16, 2025, we entered into the Series D Preferred Stock Purchase Agreement with a number of investors named therein. We subsequently entered into Amendment No. 1 thereto, dated June 23, 2025, and Amendment No. 2 thereto, dated August 6, 2025. In multiple closings held between June 16, 2025 and October 2, 2025, we issued and sold (i) an aggregate of 141,950,377 shares of our Series D convertible preferred stock at a purchase price of $1.50497 per share, for an aggregate purchase price of approximately $213.6 million and</w:t>
      </w:r>
    </w:p>
    <w:p>
      <w:pPr>
        <w:ind w:right="480" w:firstLine="8"/>
        <w:spacing w:after="0" w:line="250" w:lineRule="auto"/>
        <w:tabs>
          <w:tab w:leader="none" w:pos="2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Common Stock Warrants to purchase an aggregate of 4,056,164 shares of common stock with an exercise price of $0.10 per share, which we refer to collectively as the Series D Preferred Stock Financing.</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Proceeds from our Initial Public Offering and Concurrent Private Placement</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May 8, 2026, the SEC declared effective our registration statement on Form S-1 (File No. 333-295141), as amended, or the Registration Statement, filed in connection with our IPO. Pursuant to the Registration Statement, we registered the offer and sale of 15,500,000 shares of our common stock with a maximum aggregate offering price of approximately $279.0 million. J.P. Morgan Securities LLC, TD Securities (USA) LLC and Cantor Fitzgerald &amp; Co. acted as representatives of the underwriters for the IPO. Concurrently with the IPO, we also completed a private placement, in which we issued and sold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00" w:name="page101"/>
    <w:bookmarkEnd w:id="100"/>
    <w:p>
      <w:pPr>
        <w:jc w:val="both"/>
        <w:spacing w:after="0" w:line="253" w:lineRule="auto"/>
        <w:rPr>
          <w:sz w:val="20"/>
          <w:szCs w:val="20"/>
          <w:color w:val="auto"/>
        </w:rPr>
      </w:pPr>
      <w:r>
        <w:rPr>
          <w:rFonts w:ascii="Arial" w:cs="Arial" w:eastAsia="Arial" w:hAnsi="Arial"/>
          <w:sz w:val="18"/>
          <w:szCs w:val="18"/>
          <w:color w:val="auto"/>
        </w:rPr>
        <w:t>an aggregate of 1,388,889 shares of our common stock at the IPO price to TPG LSI Rise Orazio II, L.P. The aggregate cash purchase price of the private placement shares was $25.0 million, resulting in aggregate net cash proceeds of $23.3 million, after deducting approximately $1.7 million in placement agent fees.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received net proceeds from the IPO of $ 265.4 million from the sale of 16,100,000 shares of common stock at a price of $18.00 per share, which included 600,000 shares of common stock sold pursuant to the underwriters’ exercise of their option to purchase additional shares. None of the expenses associated with the IPO were paid to directors, officers, persons owning 10% or more of any class of equity securities, or to our affiliates.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has been no material change in the expected use of the net proceeds from our IPO and concurrent private placement as described in the IPO Prospectus.</w:t>
      </w:r>
    </w:p>
    <w:p>
      <w:pPr>
        <w:spacing w:after="0" w:line="48" w:lineRule="exact"/>
        <w:rPr>
          <w:sz w:val="20"/>
          <w:szCs w:val="20"/>
          <w:color w:val="auto"/>
        </w:rPr>
      </w:pPr>
    </w:p>
    <w:p>
      <w:pPr>
        <w:ind w:right="8120" w:firstLine="8"/>
        <w:spacing w:after="0" w:line="394" w:lineRule="auto"/>
        <w:tabs>
          <w:tab w:leader="none" w:pos="27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Issuer Repurchases of Securities </w:t>
      </w:r>
      <w:r>
        <w:rPr>
          <w:rFonts w:ascii="Arial" w:cs="Arial" w:eastAsia="Arial" w:hAnsi="Arial"/>
          <w:sz w:val="18"/>
          <w:szCs w:val="18"/>
          <w:color w:val="auto"/>
        </w:rPr>
        <w:t>None.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gridSpan w:val="3"/>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220" w:type="dxa"/>
            <w:vAlign w:val="bottom"/>
          </w:tcPr>
          <w:p>
            <w:pPr>
              <w:spacing w:after="0"/>
              <w:rPr>
                <w:sz w:val="14"/>
                <w:szCs w:val="14"/>
                <w:color w:val="auto"/>
              </w:rPr>
            </w:pPr>
          </w:p>
        </w:tc>
      </w:tr>
      <w:tr>
        <w:trPr>
          <w:trHeight w:val="171"/>
        </w:trPr>
        <w:tc>
          <w:tcPr>
            <w:tcW w:w="9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22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360" w:type="dxa"/>
            <w:vAlign w:val="bottom"/>
            <w:gridSpan w:val="2"/>
          </w:tcPr>
          <w:p>
            <w:pPr>
              <w:spacing w:after="0" w:line="169" w:lineRule="exact"/>
              <w:rPr>
                <w:rFonts w:ascii="Arial" w:cs="Arial" w:eastAsia="Arial" w:hAnsi="Arial"/>
                <w:sz w:val="18"/>
                <w:szCs w:val="18"/>
                <w:color w:val="0000FF"/>
              </w:rPr>
            </w:pPr>
            <w:hyperlink r:id="rId24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20" w:type="dxa"/>
            <w:vAlign w:val="bottom"/>
          </w:tcPr>
          <w:p>
            <w:pPr>
              <w:spacing w:after="0" w:line="169" w:lineRule="exact"/>
              <w:rPr>
                <w:sz w:val="20"/>
                <w:szCs w:val="20"/>
                <w:color w:val="auto"/>
              </w:rPr>
            </w:pPr>
            <w:r>
              <w:rPr>
                <w:rFonts w:ascii="Arial" w:cs="Arial" w:eastAsia="Arial" w:hAnsi="Arial"/>
                <w:sz w:val="18"/>
                <w:szCs w:val="18"/>
                <w:color w:val="auto"/>
              </w:rPr>
              <w:t>Ninth Amended and Restated Certificate of Incorporation of the Registrant (incorporated by reference to Exhibit 3.1 to the</w:t>
            </w:r>
          </w:p>
        </w:tc>
      </w:tr>
      <w:tr>
        <w:trPr>
          <w:trHeight w:val="191"/>
        </w:trPr>
        <w:tc>
          <w:tcPr>
            <w:tcW w:w="2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gridSpan w:val="2"/>
          </w:tcPr>
          <w:p>
            <w:pPr>
              <w:ind w:left="120"/>
              <w:spacing w:after="0" w:line="191" w:lineRule="exact"/>
              <w:rPr>
                <w:sz w:val="20"/>
                <w:szCs w:val="20"/>
                <w:color w:val="auto"/>
              </w:rPr>
            </w:pPr>
            <w:r>
              <w:rPr>
                <w:rFonts w:ascii="Arial" w:cs="Arial" w:eastAsia="Arial" w:hAnsi="Arial"/>
                <w:sz w:val="18"/>
                <w:szCs w:val="18"/>
                <w:color w:val="auto"/>
              </w:rPr>
              <w:t>Current Report on Form 8-K (File No. 001-43270), filed on May 11, 2026).</w:t>
            </w:r>
          </w:p>
        </w:tc>
      </w:tr>
      <w:tr>
        <w:trPr>
          <w:trHeight w:val="194"/>
        </w:trPr>
        <w:tc>
          <w:tcPr>
            <w:tcW w:w="360" w:type="dxa"/>
            <w:vAlign w:val="bottom"/>
            <w:gridSpan w:val="2"/>
          </w:tcPr>
          <w:p>
            <w:pPr>
              <w:spacing w:after="0" w:line="195" w:lineRule="exact"/>
              <w:rPr>
                <w:rFonts w:ascii="Arial" w:cs="Arial" w:eastAsia="Arial" w:hAnsi="Arial"/>
                <w:sz w:val="18"/>
                <w:szCs w:val="18"/>
                <w:color w:val="0000FF"/>
              </w:rPr>
            </w:pPr>
            <w:hyperlink r:id="rId242">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540" w:type="dxa"/>
            <w:vAlign w:val="bottom"/>
          </w:tcPr>
          <w:p>
            <w:pPr>
              <w:spacing w:after="0"/>
              <w:rPr>
                <w:sz w:val="16"/>
                <w:szCs w:val="16"/>
                <w:color w:val="auto"/>
              </w:rPr>
            </w:pPr>
          </w:p>
        </w:tc>
        <w:tc>
          <w:tcPr>
            <w:tcW w:w="103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Amended and Restated Bylaws of the Registrant (incorporated by reference to Exhibit 3.4 to the Registrant’s Registration</w:t>
            </w:r>
          </w:p>
        </w:tc>
      </w:tr>
      <w:tr>
        <w:trPr>
          <w:trHeight w:val="191"/>
        </w:trPr>
        <w:tc>
          <w:tcPr>
            <w:tcW w:w="2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gridSpan w:val="2"/>
          </w:tcPr>
          <w:p>
            <w:pPr>
              <w:ind w:left="120"/>
              <w:spacing w:after="0" w:line="191" w:lineRule="exact"/>
              <w:rPr>
                <w:sz w:val="20"/>
                <w:szCs w:val="20"/>
                <w:color w:val="auto"/>
              </w:rPr>
            </w:pPr>
            <w:r>
              <w:rPr>
                <w:rFonts w:ascii="Arial" w:cs="Arial" w:eastAsia="Arial" w:hAnsi="Arial"/>
                <w:sz w:val="18"/>
                <w:szCs w:val="18"/>
                <w:color w:val="auto"/>
              </w:rPr>
              <w:t>Statement on Form S-1 (File No. 333-295141), filed on April 17, 2026).</w:t>
            </w:r>
          </w:p>
        </w:tc>
      </w:tr>
      <w:tr>
        <w:trPr>
          <w:trHeight w:val="194"/>
        </w:trPr>
        <w:tc>
          <w:tcPr>
            <w:tcW w:w="360" w:type="dxa"/>
            <w:vAlign w:val="bottom"/>
            <w:gridSpan w:val="2"/>
          </w:tcPr>
          <w:p>
            <w:pPr>
              <w:spacing w:after="0" w:line="195" w:lineRule="exact"/>
              <w:rPr>
                <w:rFonts w:ascii="Arial" w:cs="Arial" w:eastAsia="Arial" w:hAnsi="Arial"/>
                <w:sz w:val="18"/>
                <w:szCs w:val="18"/>
                <w:color w:val="0000FF"/>
              </w:rPr>
            </w:pPr>
            <w:hyperlink r:id="rId243">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540" w:type="dxa"/>
            <w:vAlign w:val="bottom"/>
          </w:tcPr>
          <w:p>
            <w:pPr>
              <w:spacing w:after="0"/>
              <w:rPr>
                <w:sz w:val="16"/>
                <w:szCs w:val="16"/>
                <w:color w:val="auto"/>
              </w:rPr>
            </w:pPr>
          </w:p>
        </w:tc>
        <w:tc>
          <w:tcPr>
            <w:tcW w:w="103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Form of Common Stock Certificate (incorporated by reference to Exhibit 4.1 to the Registrant’s Registration Statement on Form</w:t>
            </w:r>
          </w:p>
        </w:tc>
      </w:tr>
      <w:tr>
        <w:trPr>
          <w:trHeight w:val="191"/>
        </w:trPr>
        <w:tc>
          <w:tcPr>
            <w:tcW w:w="2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gridSpan w:val="2"/>
          </w:tcPr>
          <w:p>
            <w:pPr>
              <w:ind w:left="120"/>
              <w:spacing w:after="0" w:line="191" w:lineRule="exact"/>
              <w:rPr>
                <w:sz w:val="20"/>
                <w:szCs w:val="20"/>
                <w:color w:val="auto"/>
              </w:rPr>
            </w:pPr>
            <w:r>
              <w:rPr>
                <w:rFonts w:ascii="Arial" w:cs="Arial" w:eastAsia="Arial" w:hAnsi="Arial"/>
                <w:sz w:val="18"/>
                <w:szCs w:val="18"/>
                <w:color w:val="auto"/>
              </w:rPr>
              <w:t>S-1 (File No. 333-295141), filed on April 17, 2026).</w:t>
            </w:r>
          </w:p>
        </w:tc>
      </w:tr>
      <w:tr>
        <w:trPr>
          <w:trHeight w:val="194"/>
        </w:trPr>
        <w:tc>
          <w:tcPr>
            <w:tcW w:w="360" w:type="dxa"/>
            <w:vAlign w:val="bottom"/>
            <w:gridSpan w:val="2"/>
          </w:tcPr>
          <w:p>
            <w:pPr>
              <w:spacing w:after="0" w:line="195" w:lineRule="exact"/>
              <w:rPr>
                <w:rFonts w:ascii="Arial" w:cs="Arial" w:eastAsia="Arial" w:hAnsi="Arial"/>
                <w:sz w:val="18"/>
                <w:szCs w:val="18"/>
                <w:color w:val="0000FF"/>
              </w:rPr>
            </w:pPr>
            <w:hyperlink r:id="rId244">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540" w:type="dxa"/>
            <w:vAlign w:val="bottom"/>
          </w:tcPr>
          <w:p>
            <w:pPr>
              <w:spacing w:after="0"/>
              <w:rPr>
                <w:sz w:val="16"/>
                <w:szCs w:val="16"/>
                <w:color w:val="auto"/>
              </w:rPr>
            </w:pPr>
          </w:p>
        </w:tc>
        <w:tc>
          <w:tcPr>
            <w:tcW w:w="103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Warrant to Purchase Stock, issued to Banc of California (formerly Pacific Western Bank) (incorporated by reference to Exhibit</w:t>
            </w:r>
          </w:p>
        </w:tc>
      </w:tr>
      <w:tr>
        <w:trPr>
          <w:trHeight w:val="191"/>
        </w:trPr>
        <w:tc>
          <w:tcPr>
            <w:tcW w:w="2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gridSpan w:val="2"/>
          </w:tcPr>
          <w:p>
            <w:pPr>
              <w:ind w:left="120"/>
              <w:spacing w:after="0" w:line="191" w:lineRule="exact"/>
              <w:rPr>
                <w:sz w:val="20"/>
                <w:szCs w:val="20"/>
                <w:color w:val="auto"/>
              </w:rPr>
            </w:pPr>
            <w:r>
              <w:rPr>
                <w:rFonts w:ascii="Arial" w:cs="Arial" w:eastAsia="Arial" w:hAnsi="Arial"/>
                <w:sz w:val="18"/>
                <w:szCs w:val="18"/>
                <w:color w:val="auto"/>
              </w:rPr>
              <w:t>4.2 to the Registrant’s Registration Statement on Form S-1 (File No. 333-295141), filed on April 17, 2026).</w:t>
            </w:r>
          </w:p>
        </w:tc>
      </w:tr>
      <w:tr>
        <w:trPr>
          <w:trHeight w:val="194"/>
        </w:trPr>
        <w:tc>
          <w:tcPr>
            <w:tcW w:w="900" w:type="dxa"/>
            <w:vAlign w:val="bottom"/>
            <w:gridSpan w:val="3"/>
          </w:tcPr>
          <w:p>
            <w:pPr>
              <w:spacing w:after="0" w:line="195"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103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Certification of Principal Executive Officer Pursuant to Rules 13a-14(a) and 15d-14(a) under the Securities Exchange Act of</w:t>
            </w:r>
          </w:p>
        </w:tc>
      </w:tr>
      <w:tr>
        <w:trPr>
          <w:trHeight w:val="191"/>
        </w:trPr>
        <w:tc>
          <w:tcPr>
            <w:tcW w:w="2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gridSpan w:val="2"/>
          </w:tcPr>
          <w:p>
            <w:pPr>
              <w:ind w:left="120"/>
              <w:spacing w:after="0" w:line="191" w:lineRule="exact"/>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194"/>
        </w:trPr>
        <w:tc>
          <w:tcPr>
            <w:tcW w:w="900" w:type="dxa"/>
            <w:vAlign w:val="bottom"/>
            <w:gridSpan w:val="3"/>
          </w:tcPr>
          <w:p>
            <w:pPr>
              <w:spacing w:after="0" w:line="195"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103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Certification of Principal Financial Officer Pursuant to Rules 13a-14(a) and 15d-14(a) under the Securities Exchange Act of</w:t>
            </w:r>
          </w:p>
        </w:tc>
      </w:tr>
      <w:tr>
        <w:trPr>
          <w:trHeight w:val="191"/>
        </w:trPr>
        <w:tc>
          <w:tcPr>
            <w:tcW w:w="2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gridSpan w:val="2"/>
          </w:tcPr>
          <w:p>
            <w:pPr>
              <w:ind w:left="120"/>
              <w:spacing w:after="0" w:line="191" w:lineRule="exact"/>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194"/>
        </w:trPr>
        <w:tc>
          <w:tcPr>
            <w:tcW w:w="900" w:type="dxa"/>
            <w:vAlign w:val="bottom"/>
            <w:gridSpan w:val="3"/>
          </w:tcPr>
          <w:p>
            <w:pPr>
              <w:spacing w:after="0" w:line="195"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103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Certification of Principal Executive Officer Pursuant to 18 U.S.C. Section 1350, as Adopted Pursuant to Section 906 of the</w:t>
            </w:r>
          </w:p>
        </w:tc>
      </w:tr>
      <w:tr>
        <w:trPr>
          <w:trHeight w:val="191"/>
        </w:trPr>
        <w:tc>
          <w:tcPr>
            <w:tcW w:w="2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gridSpan w:val="2"/>
          </w:tcPr>
          <w:p>
            <w:pPr>
              <w:ind w:left="120"/>
              <w:spacing w:after="0" w:line="191" w:lineRule="exact"/>
              <w:rPr>
                <w:sz w:val="20"/>
                <w:szCs w:val="20"/>
                <w:color w:val="auto"/>
              </w:rPr>
            </w:pPr>
            <w:r>
              <w:rPr>
                <w:rFonts w:ascii="Arial" w:cs="Arial" w:eastAsia="Arial" w:hAnsi="Arial"/>
                <w:sz w:val="18"/>
                <w:szCs w:val="18"/>
                <w:color w:val="auto"/>
              </w:rPr>
              <w:t>Sarbanes-Oxley Act of 2002.</w:t>
            </w:r>
          </w:p>
        </w:tc>
      </w:tr>
      <w:tr>
        <w:trPr>
          <w:trHeight w:val="194"/>
        </w:trPr>
        <w:tc>
          <w:tcPr>
            <w:tcW w:w="900" w:type="dxa"/>
            <w:vAlign w:val="bottom"/>
            <w:gridSpan w:val="3"/>
          </w:tcPr>
          <w:p>
            <w:pPr>
              <w:spacing w:after="0" w:line="195"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103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191"/>
        </w:trPr>
        <w:tc>
          <w:tcPr>
            <w:tcW w:w="2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10340" w:type="dxa"/>
            <w:vAlign w:val="bottom"/>
            <w:gridSpan w:val="2"/>
          </w:tcPr>
          <w:p>
            <w:pPr>
              <w:ind w:left="120"/>
              <w:spacing w:after="0" w:line="191" w:lineRule="exact"/>
              <w:rPr>
                <w:sz w:val="20"/>
                <w:szCs w:val="20"/>
                <w:color w:val="auto"/>
              </w:rPr>
            </w:pPr>
            <w:r>
              <w:rPr>
                <w:rFonts w:ascii="Arial" w:cs="Arial" w:eastAsia="Arial" w:hAnsi="Arial"/>
                <w:sz w:val="18"/>
                <w:szCs w:val="18"/>
                <w:color w:val="auto"/>
              </w:rPr>
              <w:t>Sarbanes-Oxley Act of 2002.</w:t>
            </w:r>
          </w:p>
        </w:tc>
      </w:tr>
      <w:tr>
        <w:trPr>
          <w:trHeight w:val="203"/>
        </w:trPr>
        <w:tc>
          <w:tcPr>
            <w:tcW w:w="900" w:type="dxa"/>
            <w:vAlign w:val="bottom"/>
            <w:gridSpan w:val="3"/>
          </w:tcPr>
          <w:p>
            <w:pPr>
              <w:spacing w:after="0" w:line="202" w:lineRule="exact"/>
              <w:rPr>
                <w:sz w:val="20"/>
                <w:szCs w:val="20"/>
                <w:color w:val="auto"/>
              </w:rPr>
            </w:pPr>
            <w:r>
              <w:rPr>
                <w:rFonts w:ascii="Arial" w:cs="Arial" w:eastAsia="Arial" w:hAnsi="Arial"/>
                <w:sz w:val="18"/>
                <w:szCs w:val="18"/>
                <w:color w:val="auto"/>
              </w:rPr>
              <w:t>101.INS</w:t>
            </w:r>
          </w:p>
        </w:tc>
        <w:tc>
          <w:tcPr>
            <w:tcW w:w="10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r>
      <w:tr>
        <w:trPr>
          <w:trHeight w:val="203"/>
        </w:trPr>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embedded within the Inline XBRL document.</w:t>
            </w:r>
          </w:p>
        </w:tc>
      </w:tr>
      <w:tr>
        <w:trPr>
          <w:trHeight w:val="221"/>
        </w:trPr>
        <w:tc>
          <w:tcPr>
            <w:tcW w:w="9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2"/>
          </w:tcPr>
          <w:p>
            <w:pPr>
              <w:ind w:left="120"/>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ind w:right="3940" w:firstLine="8"/>
        <w:spacing w:after="0" w:line="498" w:lineRule="auto"/>
        <w:tabs>
          <w:tab w:leader="none" w:pos="10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9512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02" w:name="page103"/>
    <w:bookmarkEnd w:id="10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Odyssey Therapeutics, Inc.</w:t>
      </w:r>
    </w:p>
    <w:p>
      <w:pPr>
        <w:spacing w:after="0" w:line="200" w:lineRule="exact"/>
        <w:rPr>
          <w:sz w:val="20"/>
          <w:szCs w:val="20"/>
          <w:color w:val="auto"/>
        </w:rPr>
      </w:pPr>
    </w:p>
    <w:p>
      <w:pPr>
        <w:spacing w:after="0" w:line="201"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June 17, 2026</w:t>
      </w:r>
      <w:r>
        <w:rPr>
          <w:sz w:val="20"/>
          <w:szCs w:val="20"/>
          <w:color w:val="auto"/>
        </w:rPr>
        <w:tab/>
      </w:r>
      <w:r>
        <w:rPr>
          <w:rFonts w:ascii="Arial" w:cs="Arial" w:eastAsia="Arial" w:hAnsi="Arial"/>
          <w:sz w:val="18"/>
          <w:szCs w:val="18"/>
          <w:color w:val="auto"/>
        </w:rPr>
        <w:t>By:</w:t>
        <w:tab/>
        <w:t>/s/ Gary 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Gary D. Glick, Ph.D.</w:t>
      </w: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3"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June 17, 2026</w:t>
      </w:r>
      <w:r>
        <w:rPr>
          <w:sz w:val="20"/>
          <w:szCs w:val="20"/>
          <w:color w:val="auto"/>
        </w:rPr>
        <w:tab/>
      </w:r>
      <w:r>
        <w:rPr>
          <w:rFonts w:ascii="Arial" w:cs="Arial" w:eastAsia="Arial" w:hAnsi="Arial"/>
          <w:sz w:val="18"/>
          <w:szCs w:val="18"/>
          <w:color w:val="auto"/>
        </w:rPr>
        <w:t>By:</w:t>
        <w:tab/>
        <w:t>/s/ Jason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Jason Haas</w:t>
      </w:r>
    </w:p>
    <w:p>
      <w:pPr>
        <w:ind w:left="60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103" w:name="page104"/>
    <w:bookmarkEnd w:id="103"/>
    <w:p>
      <w:pPr>
        <w:ind w:left="10300"/>
        <w:spacing w:after="0"/>
        <w:rPr>
          <w:sz w:val="20"/>
          <w:szCs w:val="20"/>
          <w:color w:val="auto"/>
        </w:rPr>
      </w:pPr>
      <w:r>
        <w:rPr>
          <w:rFonts w:ascii="Arial" w:cs="Arial" w:eastAsia="Arial" w:hAnsi="Arial"/>
          <w:sz w:val="16"/>
          <w:szCs w:val="16"/>
          <w:b w:val="1"/>
          <w:bCs w:val="1"/>
          <w:color w:val="auto"/>
        </w:rPr>
        <w:t>Exhibit 31.1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D. Glick , certify that:</w:t>
      </w:r>
    </w:p>
    <w:p>
      <w:pPr>
        <w:spacing w:after="0" w:line="333"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Odyssey Therapeutics Inc.;</w:t>
      </w:r>
    </w:p>
    <w:p>
      <w:pPr>
        <w:spacing w:after="0" w:line="22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June 17 2026</w:t>
            </w:r>
          </w:p>
        </w:tc>
        <w:tc>
          <w:tcPr>
            <w:tcW w:w="3140" w:type="dxa"/>
            <w:vAlign w:val="bottom"/>
            <w:gridSpan w:val="2"/>
          </w:tcPr>
          <w:p>
            <w:pPr>
              <w:ind w:left="2220"/>
              <w:spacing w:after="0"/>
              <w:rPr>
                <w:sz w:val="20"/>
                <w:szCs w:val="20"/>
                <w:color w:val="auto"/>
              </w:rPr>
            </w:pPr>
            <w:r>
              <w:rPr>
                <w:rFonts w:ascii="Times New Roman" w:cs="Times New Roman" w:eastAsia="Times New Roman" w:hAnsi="Times New Roman"/>
                <w:sz w:val="16"/>
                <w:szCs w:val="16"/>
                <w:color w:val="auto"/>
              </w:rPr>
              <w:t>By:</w:t>
            </w:r>
          </w:p>
        </w:tc>
        <w:tc>
          <w:tcPr>
            <w:tcW w:w="460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/s/ Gary D. Glick</w:t>
            </w:r>
          </w:p>
        </w:tc>
      </w:tr>
      <w:tr>
        <w:trPr>
          <w:trHeight w:val="188"/>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tcPr>
          <w:p>
            <w:pPr>
              <w:jc w:val="center"/>
              <w:ind w:right="599"/>
              <w:spacing w:after="0"/>
              <w:rPr>
                <w:sz w:val="20"/>
                <w:szCs w:val="20"/>
                <w:color w:val="auto"/>
              </w:rPr>
            </w:pPr>
            <w:r>
              <w:rPr>
                <w:rFonts w:ascii="Times New Roman" w:cs="Times New Roman" w:eastAsia="Times New Roman" w:hAnsi="Times New Roman"/>
                <w:sz w:val="16"/>
                <w:szCs w:val="16"/>
                <w:color w:val="auto"/>
              </w:rPr>
              <w:t>Gary D. Glick, Ph.D.</w:t>
            </w:r>
          </w:p>
        </w:tc>
        <w:tc>
          <w:tcPr>
            <w:tcW w:w="120" w:type="dxa"/>
            <w:vAlign w:val="bottom"/>
          </w:tcPr>
          <w:p>
            <w:pPr>
              <w:spacing w:after="0"/>
              <w:rPr>
                <w:sz w:val="16"/>
                <w:szCs w:val="16"/>
                <w:color w:val="auto"/>
              </w:rPr>
            </w:pPr>
          </w:p>
        </w:tc>
      </w:tr>
      <w:tr>
        <w:trPr>
          <w:trHeight w:val="210"/>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0" w:type="dxa"/>
            <w:vAlign w:val="bottom"/>
            <w:gridSpan w:val="2"/>
          </w:tcPr>
          <w:p>
            <w:pPr>
              <w:jc w:val="center"/>
              <w:ind w:right="80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0" w:type="dxa"/>
            <w:vAlign w:val="bottom"/>
            <w:gridSpan w:val="2"/>
          </w:tcPr>
          <w:p>
            <w:pPr>
              <w:jc w:val="center"/>
              <w:ind w:right="80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1795"/>
        </w:trPr>
        <w:tc>
          <w:tcPr>
            <w:tcW w:w="35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4" w:name="page105"/>
    <w:bookmarkEnd w:id="104"/>
    <w:p>
      <w:pPr>
        <w:ind w:left="10300"/>
        <w:spacing w:after="0"/>
        <w:rPr>
          <w:sz w:val="20"/>
          <w:szCs w:val="20"/>
          <w:color w:val="auto"/>
        </w:rPr>
      </w:pPr>
      <w:r>
        <w:rPr>
          <w:rFonts w:ascii="Arial" w:cs="Arial" w:eastAsia="Arial" w:hAnsi="Arial"/>
          <w:sz w:val="16"/>
          <w:szCs w:val="16"/>
          <w:b w:val="1"/>
          <w:bCs w:val="1"/>
          <w:color w:val="auto"/>
        </w:rPr>
        <w:t>Exhibit 31.2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Haas, certify that:</w:t>
      </w:r>
    </w:p>
    <w:p>
      <w:pPr>
        <w:spacing w:after="0" w:line="225"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Odyssey Therapeutics Inc.;</w:t>
      </w:r>
    </w:p>
    <w:p>
      <w:pPr>
        <w:spacing w:after="0" w:line="22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220" w:hanging="514"/>
        <w:spacing w:after="0" w:line="282"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27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/s/ Jason Haas</w:t>
            </w:r>
          </w:p>
        </w:tc>
      </w:tr>
      <w:tr>
        <w:trPr>
          <w:trHeight w:val="191"/>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860" w:type="dxa"/>
            <w:vAlign w:val="bottom"/>
            <w:tcBorders>
              <w:top w:val="single" w:sz="8" w:color="auto"/>
            </w:tcBorders>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9"/>
              </w:rPr>
              <w:t>Jason Haas</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(Principal Financial Officer and Accounting Officer)</w:t>
            </w:r>
          </w:p>
        </w:tc>
      </w:tr>
      <w:tr>
        <w:trPr>
          <w:trHeight w:val="1816"/>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Odyssey Therapeutics Inc. (the “Company”) for the period ended March 31, 2026 as filed with the Securities and Exchange Commission on the date hereof (the “Report”), I certify, pursuant to 18 U.S.C. § 1350, as adopted pursuant to § 906 of the Sarbanes-Oxley Act of 2002, that:</w:t>
      </w:r>
    </w:p>
    <w:p>
      <w:pPr>
        <w:spacing w:after="0" w:line="284"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3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30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 Gary D. Glick</w:t>
            </w:r>
          </w:p>
        </w:tc>
      </w:tr>
      <w:tr>
        <w:trPr>
          <w:trHeight w:val="191"/>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0" w:type="dxa"/>
            <w:vAlign w:val="bottom"/>
            <w:tcBorders>
              <w:top w:val="single" w:sz="8" w:color="auto"/>
            </w:tcBorders>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w w:val="99"/>
              </w:rPr>
              <w:t>Gary D. Glick, Ph.D.</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16"/>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Odyssey Therapeutics Inc. (the “Company”) for the period ended March 31, 2026 as filed with the Securities and Exchange Commission on the date hereof (the “Report”), I certify, pursuant to 18 U.S.C. § 1350, as adopted pursuant to § 906 of the Sarbanes-Oxley Act of 2002, that:</w:t>
      </w:r>
    </w:p>
    <w:p>
      <w:pPr>
        <w:spacing w:after="0" w:line="284"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3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27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/s/ Jason Haas</w:t>
            </w:r>
          </w:p>
        </w:tc>
      </w:tr>
      <w:tr>
        <w:trPr>
          <w:trHeight w:val="191"/>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860" w:type="dxa"/>
            <w:vAlign w:val="bottom"/>
            <w:tcBorders>
              <w:top w:val="single" w:sz="8" w:color="auto"/>
            </w:tcBorders>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9"/>
              </w:rPr>
              <w:t>Jason Haas</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(Principal Financial Officer and Accounting Officer)</w:t>
            </w:r>
          </w:p>
        </w:tc>
      </w:tr>
      <w:tr>
        <w:trPr>
          <w:trHeight w:val="1816"/>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2"/>
    </w:lvl>
  </w:abstractNum>
  <w:abstractNum w:abstractNumId="8">
    <w:nsid w:val="7724C67E"/>
    <w:multiLevelType w:val="hybridMultilevel"/>
    <w:lvl w:ilvl="0">
      <w:lvlJc w:val="left"/>
      <w:lvlText w:val="%1."/>
      <w:numFmt w:val="decimal"/>
      <w:start w:val="3"/>
    </w:lvl>
  </w:abstractNum>
  <w:abstractNum w:abstractNumId="9">
    <w:nsid w:val="5C482A97"/>
    <w:multiLevelType w:val="hybridMultilevel"/>
    <w:lvl w:ilvl="0">
      <w:lvlJc w:val="left"/>
      <w:lvlText w:val="%1."/>
      <w:numFmt w:val="decimal"/>
      <w:start w:val="5"/>
    </w:lvl>
  </w:abstractNum>
  <w:abstractNum w:abstractNumId="10">
    <w:nsid w:val="2463B9EA"/>
    <w:multiLevelType w:val="hybridMultilevel"/>
    <w:lvl w:ilvl="0">
      <w:lvlJc w:val="left"/>
      <w:lvlText w:val="%1."/>
      <w:numFmt w:val="decimal"/>
      <w:start w:val="6"/>
    </w:lvl>
  </w:abstractNum>
  <w:abstractNum w:abstractNumId="11">
    <w:nsid w:val="5E884ADC"/>
    <w:multiLevelType w:val="hybridMultilevel"/>
    <w:lvl w:ilvl="0">
      <w:lvlJc w:val="left"/>
      <w:lvlText w:val="%1."/>
      <w:numFmt w:val="decimal"/>
      <w:start w:val="8"/>
    </w:lvl>
  </w:abstractNum>
  <w:abstractNum w:abstractNumId="12">
    <w:nsid w:val="51EAD36B"/>
    <w:multiLevelType w:val="hybridMultilevel"/>
    <w:lvl w:ilvl="0">
      <w:lvlJc w:val="left"/>
      <w:lvlText w:val="%1."/>
      <w:numFmt w:val="decimal"/>
      <w:start w:val="11"/>
    </w:lvl>
  </w:abstractNum>
  <w:abstractNum w:abstractNumId="13">
    <w:nsid w:val="2D517796"/>
    <w:multiLevelType w:val="hybridMultilevel"/>
    <w:lvl w:ilvl="0">
      <w:lvlJc w:val="left"/>
      <w:lvlText w:val="(%1)"/>
      <w:numFmt w:val="lowerRoman"/>
      <w:start w:val="4"/>
    </w:lvl>
  </w:abstractNum>
  <w:abstractNum w:abstractNumId="14">
    <w:nsid w:val="580BD78F"/>
    <w:multiLevelType w:val="hybridMultilevel"/>
    <w:lvl w:ilvl="0">
      <w:lvlJc w:val="left"/>
      <w:lvlText w:val="%1."/>
      <w:numFmt w:val="decimal"/>
      <w:start w:val="12"/>
    </w:lvl>
  </w:abstractNum>
  <w:abstractNum w:abstractNumId="15">
    <w:nsid w:val="153EA438"/>
    <w:multiLevelType w:val="hybridMultilevel"/>
    <w:lvl w:ilvl="0">
      <w:lvlJc w:val="left"/>
      <w:lvlText w:val="%1."/>
      <w:numFmt w:val="decimal"/>
      <w:start w:val="13"/>
    </w:lvl>
  </w:abstractNum>
  <w:abstractNum w:abstractNumId="16">
    <w:nsid w:val="3855585C"/>
    <w:multiLevelType w:val="hybridMultilevel"/>
    <w:lvl w:ilvl="0">
      <w:lvlJc w:val="left"/>
      <w:lvlText w:val="%1."/>
      <w:numFmt w:val="decimal"/>
      <w:start w:val="14"/>
    </w:lvl>
  </w:abstractNum>
  <w:abstractNum w:abstractNumId="17">
    <w:nsid w:val="70A64E2A"/>
    <w:multiLevelType w:val="hybridMultilevel"/>
    <w:lvl w:ilvl="0">
      <w:lvlJc w:val="left"/>
      <w:lvlText w:val="%1."/>
      <w:numFmt w:val="decimal"/>
      <w:start w:val="15"/>
    </w:lvl>
  </w:abstractNum>
  <w:abstractNum w:abstractNumId="18">
    <w:nsid w:val="6A2342EC"/>
    <w:multiLevelType w:val="hybridMultilevel"/>
    <w:lvl w:ilvl="0">
      <w:lvlJc w:val="left"/>
      <w:lvlText w:val="%1."/>
      <w:numFmt w:val="decimal"/>
      <w:start w:val="16"/>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18"/>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lowerRoman"/>
      <w:start w:val="2"/>
    </w:lvl>
  </w:abstractNum>
  <w:abstractNum w:abstractNumId="60">
    <w:nsid w:val="579BE4F1"/>
    <w:multiLevelType w:val="hybridMultilevel"/>
    <w:lvl w:ilvl="0">
      <w:lvlJc w:val="left"/>
      <w:lvlText w:val="(%1)"/>
      <w:numFmt w:val="lowerLetter"/>
      <w:start w:val="3"/>
    </w:lvl>
  </w:abstractNum>
  <w:abstractNum w:abstractNumId="61">
    <w:nsid w:val="310C50B3"/>
    <w:multiLevelType w:val="hybridMultilevel"/>
    <w:lvl w:ilvl="0">
      <w:lvlJc w:val="left"/>
      <w:lvlText w:val="*"/>
      <w:numFmt w:val="bullet"/>
      <w:start w:val="1"/>
    </w:lvl>
    <w:lvl w:ilvl="1">
      <w:lvlJc w:val="left"/>
      <w:lvlText w:val="%2"/>
      <w:numFmt w:val="decimal"/>
      <w:start w:val="104"/>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41" Type="http://schemas.openxmlformats.org/officeDocument/2006/relationships/hyperlink" Target="https://www.sec.gov/Archives/edgar/data/1882782/000119312526216899/odtx-ex3_1.htm" TargetMode="External"/><Relationship Id="rId242" Type="http://schemas.openxmlformats.org/officeDocument/2006/relationships/hyperlink" Target="https://www.sec.gov/Archives/edgar/data/1882782/000119312526161514/odtx-ex3_4.htm" TargetMode="External"/><Relationship Id="rId243" Type="http://schemas.openxmlformats.org/officeDocument/2006/relationships/hyperlink" Target="https://www.sec.gov/Archives/edgar/data/1882782/000119312526161514/odtx-ex4_1.htm" TargetMode="External"/><Relationship Id="rId244" Type="http://schemas.openxmlformats.org/officeDocument/2006/relationships/hyperlink" Target="https://www.sec.gov/Archives/edgar/data/1882782/000119312526161514/odtx-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2026-06-17T16:03:06Z</dcterms:created>
  <dcterms:modified xsi:type="dcterms:W3CDTF">2026-06-17T16:03:06Z</dcterms:modified>
</cp:coreProperties>
</file>