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dtx-20260630.htm"/>
      <w:bookmarkStart w:id="1" w:name="ksodtx20260630"/>
      <w:bookmarkEnd w:id="0"/>
      <w:bookmarkEnd w:id="1"/>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12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12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100" w:after="283"/>
        <w:jc w:val="center"/>
        <w:rPr>
          <w:rFonts w:ascii="Arial" w:hAnsi="Arial"/>
          <w:b/>
          <w:color w:val="000000"/>
          <w:sz w:val="20"/>
        </w:rPr>
      </w:pPr>
      <w:r>
        <w:rPr>
          <w:rFonts w:ascii="Arial" w:hAnsi="Arial"/>
          <w:b/>
          <w:color w:val="000000"/>
          <w:sz w:val="20"/>
        </w:rPr>
        <w:t>For the transition period from __________________ to __________________</w:t>
      </w:r>
    </w:p>
    <w:p>
      <w:pPr>
        <w:pStyle w:val="TextBody"/>
        <w:bidi w:val="0"/>
        <w:spacing w:before="100" w:after="283"/>
        <w:jc w:val="center"/>
        <w:rPr>
          <w:rFonts w:ascii="Arial" w:hAnsi="Arial"/>
          <w:b/>
          <w:color w:val="000000"/>
          <w:sz w:val="20"/>
        </w:rPr>
      </w:pPr>
      <w:r>
        <w:rPr>
          <w:rFonts w:ascii="Arial" w:hAnsi="Arial"/>
          <w:b/>
          <w:color w:val="000000"/>
          <w:sz w:val="20"/>
        </w:rPr>
        <w:t>Commission File Number: 001-43270</w:t>
      </w:r>
    </w:p>
    <w:p>
      <w:pPr>
        <w:pStyle w:val="TextBody"/>
        <w:pBdr>
          <w:bottom w:val="single" w:sz="4" w:space="1" w:color="000000"/>
        </w:pBdr>
        <w:bidi w:val="0"/>
        <w:spacing w:before="40" w:after="100"/>
        <w:jc w:val="center"/>
        <w:rPr/>
      </w:pPr>
      <w:r>
        <w:rPr/>
        <w:t> </w:t>
      </w:r>
    </w:p>
    <w:p>
      <w:pPr>
        <w:pStyle w:val="TextBody"/>
        <w:bidi w:val="0"/>
        <w:jc w:val="center"/>
        <w:rPr>
          <w:rFonts w:ascii="Arial" w:hAnsi="Arial"/>
          <w:b/>
          <w:color w:val="000000"/>
          <w:sz w:val="48"/>
        </w:rPr>
      </w:pPr>
      <w:r>
        <w:rPr>
          <w:rFonts w:ascii="Arial" w:hAnsi="Arial"/>
          <w:b/>
          <w:color w:val="000000"/>
          <w:sz w:val="48"/>
        </w:rPr>
        <w:t>Odyssey Therapeutics,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62" w:type="dxa"/>
        <w:jc w:val="left"/>
        <w:tblInd w:w="0" w:type="dxa"/>
        <w:tblLayout w:type="fixed"/>
        <w:tblCellMar>
          <w:top w:w="28" w:type="dxa"/>
          <w:left w:w="28" w:type="dxa"/>
          <w:bottom w:w="28" w:type="dxa"/>
          <w:right w:w="28" w:type="dxa"/>
        </w:tblCellMar>
      </w:tblPr>
      <w:tblGrid>
        <w:gridCol w:w="2671"/>
        <w:gridCol w:w="1291"/>
      </w:tblGrid>
      <w:tr>
        <w:trPr/>
        <w:tc>
          <w:tcPr>
            <w:tcW w:w="26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86-3384382</w:t>
            </w:r>
          </w:p>
        </w:tc>
      </w:tr>
      <w:tr>
        <w:trPr/>
        <w:tc>
          <w:tcPr>
            <w:tcW w:w="267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671" w:type="dxa"/>
            <w:tcBorders/>
            <w:tcMar>
              <w:top w:w="0" w:type="dxa"/>
              <w:left w:w="0" w:type="dxa"/>
              <w:bottom w:w="0" w:type="dxa"/>
              <w:right w:w="0" w:type="dxa"/>
            </w:tcMar>
            <w:vAlign w:val="center"/>
          </w:tcPr>
          <w:p>
            <w:pPr>
              <w:pStyle w:val="TableContents"/>
              <w:bidi w:val="0"/>
              <w:spacing w:before="60" w:after="283"/>
              <w:jc w:val="center"/>
              <w:rPr>
                <w:rFonts w:ascii="Arial" w:hAnsi="Arial"/>
                <w:b/>
                <w:color w:val="000000"/>
                <w:sz w:val="20"/>
              </w:rPr>
            </w:pPr>
            <w:r>
              <w:rPr>
                <w:rFonts w:ascii="Arial" w:hAnsi="Arial"/>
                <w:b/>
                <w:color w:val="000000"/>
                <w:sz w:val="20"/>
              </w:rPr>
              <w:t>51 Sleeper Street, Suite 800</w:t>
            </w:r>
          </w:p>
          <w:p>
            <w:pPr>
              <w:pStyle w:val="TableContents"/>
              <w:bidi w:val="0"/>
              <w:spacing w:before="0" w:after="283"/>
              <w:jc w:val="center"/>
              <w:rPr>
                <w:rFonts w:ascii="Arial" w:hAnsi="Arial"/>
                <w:b/>
                <w:color w:val="000000"/>
                <w:sz w:val="20"/>
              </w:rPr>
            </w:pPr>
            <w:r>
              <w:rPr>
                <w:rFonts w:ascii="Arial" w:hAnsi="Arial"/>
                <w:b/>
                <w:color w:val="000000"/>
                <w:sz w:val="20"/>
              </w:rPr>
              <w:t>Boston, Massachusetts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02210</w:t>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(617) 865-9628</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766"/>
        <w:gridCol w:w="146"/>
        <w:gridCol w:w="916"/>
        <w:gridCol w:w="146"/>
        <w:gridCol w:w="366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ODTX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Stock Market LLC</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12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As of August 3, 2026, the registrant had 48,058,527</w:t>
      </w:r>
      <w:r>
        <w:rPr>
          <w:rFonts w:ascii="Times New Roman" w:hAnsi="Times New Roman"/>
          <w:color w:val="000000"/>
          <w:sz w:val="20"/>
        </w:rPr>
        <w:t xml:space="preserve"> </w:t>
      </w:r>
      <w:r>
        <w:rPr>
          <w:rFonts w:ascii="Arial" w:hAnsi="Arial"/>
          <w:color w:val="000000"/>
          <w:sz w:val="18"/>
        </w:rPr>
        <w:t>shares</w:t>
      </w:r>
      <w:r>
        <w:rPr>
          <w:rFonts w:ascii="Times New Roman" w:hAnsi="Times New Roman"/>
          <w:color w:val="000000"/>
          <w:sz w:val="20"/>
        </w:rPr>
        <w:t xml:space="preserve"> </w:t>
      </w:r>
      <w:r>
        <w:rPr>
          <w:rFonts w:ascii="Arial" w:hAnsi="Arial"/>
          <w:color w:val="000000"/>
          <w:sz w:val="18"/>
        </w:rPr>
        <w:t>of common stock, $0.0001</w:t>
      </w:r>
      <w:r>
        <w:rPr>
          <w:rFonts w:ascii="Times New Roman" w:hAnsi="Times New Roman"/>
          <w:color w:val="000000"/>
          <w:sz w:val="20"/>
        </w:rPr>
        <w:t xml:space="preserve"> </w:t>
      </w:r>
      <w:r>
        <w:rPr>
          <w:rFonts w:ascii="Arial" w:hAnsi="Arial"/>
          <w:color w:val="000000"/>
          <w:sz w:val="18"/>
        </w:rPr>
        <w:t>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678" w:type="dxa"/>
        <w:jc w:val="left"/>
        <w:tblInd w:w="0" w:type="dxa"/>
        <w:tblLayout w:type="fixed"/>
        <w:tblCellMar>
          <w:top w:w="28" w:type="dxa"/>
          <w:left w:w="28" w:type="dxa"/>
          <w:bottom w:w="28" w:type="dxa"/>
          <w:right w:w="28" w:type="dxa"/>
        </w:tblCellMar>
      </w:tblPr>
      <w:tblGrid>
        <w:gridCol w:w="886"/>
        <w:gridCol w:w="8251"/>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Arial" w:hAnsi="Arial"/>
                  <w:b/>
                  <w:color w:val="0000FF"/>
                  <w:sz w:val="20"/>
                  <w:u w:val="single"/>
                </w:rPr>
                <w:t>PART I.</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Arial" w:hAnsi="Arial"/>
                  <w:color w:val="0000FF"/>
                  <w:sz w:val="20"/>
                  <w:u w:val="single"/>
                </w:rPr>
                <w:t>Item 1.</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Arial" w:hAnsi="Arial"/>
                  <w:color w:val="0000FF"/>
                  <w:sz w:val="20"/>
                  <w:u w:val="single"/>
                </w:rPr>
                <w:t>Condensed Consolidated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nvertible">
              <w:r>
                <w:rPr>
                  <w:rStyle w:val="InternetLink"/>
                  <w:rFonts w:ascii="Arial" w:hAnsi="Arial"/>
                  <w:color w:val="0000FF"/>
                  <w:sz w:val="20"/>
                  <w:u w:val="single"/>
                </w:rPr>
                <w:t>Condensed Consolidated Statements of Convertible Preferred Stock and Stockholders’ Deficit</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flows">
              <w:r>
                <w:rPr>
                  <w:rStyle w:val="InternetLink"/>
                  <w:rFonts w:ascii="Arial" w:hAnsi="Arial"/>
                  <w:color w:val="0000FF"/>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Arial" w:hAnsi="Arial"/>
                  <w:color w:val="0000FF"/>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Arial" w:hAnsi="Arial"/>
                  <w:color w:val="0000FF"/>
                  <w:sz w:val="20"/>
                  <w:u w:val="single"/>
                </w:rPr>
                <w:t>Item 2.</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Arial" w:hAnsi="Arial"/>
                  <w:color w:val="0000FF"/>
                  <w:sz w:val="20"/>
                  <w:u w:val="single"/>
                </w:rPr>
                <w:t>Item 3.</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Arial" w:hAnsi="Arial"/>
                  <w:color w:val="0000FF"/>
                  <w:sz w:val="20"/>
                  <w:u w:val="single"/>
                </w:rPr>
                <w:t>Item 4.</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b/>
                  <w:color w:val="0000FF"/>
                  <w:sz w:val="20"/>
                  <w:u w:val="single"/>
                </w:rPr>
                <w:t>PART II.</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Arial" w:hAnsi="Arial"/>
                  <w:color w:val="0000FF"/>
                  <w:sz w:val="20"/>
                  <w:u w:val="single"/>
                </w:rPr>
                <w:t>Item 2.</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
              <w:r>
                <w:rPr>
                  <w:rStyle w:val="InternetLink"/>
                  <w:rFonts w:ascii="Arial" w:hAnsi="Arial"/>
                  <w:color w:val="0000FF"/>
                  <w:sz w:val="20"/>
                  <w:u w:val="single"/>
                </w:rPr>
                <w:t>Item 3.</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Arial" w:hAnsi="Arial"/>
                  <w:color w:val="0000FF"/>
                  <w:sz w:val="20"/>
                  <w:u w:val="single"/>
                </w:rPr>
                <w:t>Item 4.</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Item 5.</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
              <w:r>
                <w:rPr>
                  <w:rStyle w:val="InternetLink"/>
                  <w:rFonts w:ascii="Arial" w:hAnsi="Arial"/>
                  <w:color w:val="0000FF"/>
                  <w:sz w:val="20"/>
                  <w:u w:val="single"/>
                </w:rPr>
                <w:t>Item 6.</w:t>
              </w:r>
            </w:hyperlink>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9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Quarterly Report on Form 10-Q, or this Quarterly Report,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Quarterly Report, including statements regarding our future results of operations and financial position, business strategy, product candidates, plans for and results of preclinical studies and clinical trials, research and development costs, manufacturing plans,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negatives of these words or other similar terms or expressions that concern our expectations, strategy, plans or intentions. Forward-looking statements contained in this Quarterly Report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initiation, timing, progress and results of our preclinical studies, clinical trials and research programs for our product candidates, including OD-001 and OD-002;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beneficial characteristics, safety and efficacy of our product candidates and the potential advantages of our product candidates compared to alternative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of certain diseases and conditions we intend to treat and the size of the market opportunity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estimates of the number of patients with certain diseases and conditions we intend to treat and the number of patients that we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or likelihood of regulatory filings and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meet future regulatory standards with respect to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plans relating to the further development and manufacturing of our product candidates, including for additional indications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rate and degree of market acceptance and therapeutic benefits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develop or partner and progress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implementation of our strategic plans for our business, product candidates, research programs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protection we are able to establish and maintain for intellectual property rights covering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anticipated 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competitive position and 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our current license agreements and collaborations and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expected potential benefits of strategic collaborations with third parties and our ability to attract collaborators with development, regulatory, manufacturing or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reliance on third parties to conduct clinical trials of or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plans relating to sales strategy, manufacturing and commercializing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anticipated regulatory developments in the United States and foreign countries in which we may seek regulatory approval for our product candidates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attract and retain key scientific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operating as a public company;</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capital resources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period during which we will qualify as an emerging growth company under the Jumpstart Our Business Startups Act, as amended, or the JOBS Act, or a smaller reporting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anticipated use of our existing resources and the proceeds from our initial public offering, or IPO, and the concurrent private placement, capital requirements and need for additional financing.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We caution you that the forward-looking statements highlighted above do not encompass all of the forward-looking statements made in this Quarterly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have based the forward-looking statements contained in this Quarterly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titled “</w:t>
      </w:r>
      <w:r>
        <w:rPr>
          <w:rFonts w:ascii="Arial" w:hAnsi="Arial"/>
          <w:i/>
          <w:color w:val="000000"/>
          <w:sz w:val="20"/>
        </w:rPr>
        <w:t>Risk Factors</w:t>
      </w:r>
      <w:r>
        <w:rPr>
          <w:rFonts w:ascii="Times New Roman" w:hAnsi="Times New Roman"/>
          <w:color w:val="000000"/>
          <w:sz w:val="20"/>
        </w:rPr>
        <w:t xml:space="preserve">” </w:t>
      </w:r>
      <w:r>
        <w:rPr>
          <w:rFonts w:ascii="Arial" w:hAnsi="Arial"/>
          <w:color w:val="000000"/>
          <w:sz w:val="20"/>
        </w:rPr>
        <w:t>and elsewhere in this Quarterly Report.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SUMMARY OF RISK FACTORS</w:t>
      </w:r>
    </w:p>
    <w:p>
      <w:pPr>
        <w:pStyle w:val="TextBody"/>
        <w:bidi w:val="0"/>
        <w:spacing w:before="120" w:after="283"/>
        <w:jc w:val="left"/>
        <w:rPr>
          <w:rFonts w:ascii="Arial" w:hAnsi="Arial"/>
          <w:color w:val="000000"/>
          <w:sz w:val="20"/>
        </w:rPr>
      </w:pPr>
      <w:r>
        <w:rPr>
          <w:rFonts w:ascii="Arial" w:hAnsi="Arial"/>
          <w:color w:val="000000"/>
          <w:sz w:val="20"/>
        </w:rPr>
        <w:t>Our ability to implement our business strategy is subject to numerous risks that you should be aware of before making an investment decision. These risks are described more fully in Part II, Item 1A - Risk Factors in this Quarterly Report. These risks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a clinical-stage biotechnology company with a limited operating history and a history of incurring substantial net losses, have no products approved for commercial sale, have never generated revenue from product sales and may never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business depends entirely on the success of our product candidates and development programs, including OD-001 and OD-002,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future success depends on our ability to retain and to continue to receive adequate attention from our key leaders, as well as on our ability to attract, retain and motivate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two most advanced product candidates are currently in a phase 2a monotherapy trial and IND-enabling studies, respectively. We have never successfully completed any large-scale or pivotal clinical trials with our product candidates, and we may be unable to do so for any product candidates we develop.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face substantial competition, which may result in others discovering, developing or commercializing drugs before or more successfully than we do.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 frames, or at all, would materially and adversely affect our business, financial condition, results of operations and prospects.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stock price may be volatile, which could result in substantial losses for investors.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2" w:name="part_1_financial_information"/>
      <w:bookmarkEnd w:id="2"/>
      <w:r>
        <w:rPr>
          <w:rFonts w:ascii="Arial" w:hAnsi="Arial"/>
          <w:b/>
          <w:color w:val="000000"/>
          <w:sz w:val="20"/>
        </w:rPr>
        <w:t>PART I—FINANCIAL INFORMATION</w:t>
      </w:r>
    </w:p>
    <w:p>
      <w:pPr>
        <w:pStyle w:val="TextBody"/>
        <w:bidi w:val="0"/>
        <w:spacing w:before="240" w:after="283"/>
        <w:jc w:val="left"/>
        <w:rPr>
          <w:rFonts w:ascii="Arial" w:hAnsi="Arial"/>
          <w:b/>
          <w:color w:val="000000"/>
          <w:sz w:val="20"/>
        </w:rPr>
      </w:pPr>
      <w:bookmarkStart w:id="3" w:name="financial_statements"/>
      <w:bookmarkEnd w:id="3"/>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4" w:name="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data) (unaudited)</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012"/>
        <w:gridCol w:w="146"/>
        <w:gridCol w:w="201"/>
        <w:gridCol w:w="849"/>
        <w:gridCol w:w="166"/>
        <w:gridCol w:w="146"/>
        <w:gridCol w:w="221"/>
        <w:gridCol w:w="850"/>
        <w:gridCol w:w="614"/>
      </w:tblGrid>
      <w:tr>
        <w:trPr/>
        <w:tc>
          <w:tcPr>
            <w:tcW w:w="7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December 31, 2025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82,031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41,687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228,544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139,671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9,298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190,656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7,209</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18,804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14,327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35,198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3,332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483,850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269,788</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Liabilities,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7,872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13,392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5,211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26,475</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Contingent consideration and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6,133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21,900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54,508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Commitments and contingencies (see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7"/>
              </w:rPr>
              <w:t>Series A convertible preferred stock, $0.0001</w:t>
            </w:r>
            <w:r>
              <w:rPr>
                <w:rFonts w:ascii="Times New Roman" w:hAnsi="Times New Roman"/>
                <w:color w:val="000000"/>
                <w:sz w:val="20"/>
              </w:rPr>
              <w:t> </w:t>
            </w:r>
            <w:r>
              <w:rPr>
                <w:rFonts w:ascii="Arial" w:hAnsi="Arial"/>
                <w:color w:val="000000"/>
                <w:sz w:val="17"/>
              </w:rPr>
              <w:t>par value: no</w:t>
            </w:r>
            <w:r>
              <w:rPr>
                <w:rFonts w:ascii="Times New Roman" w:hAnsi="Times New Roman"/>
                <w:color w:val="000000"/>
                <w:sz w:val="20"/>
              </w:rPr>
              <w:t> </w:t>
            </w:r>
            <w:r>
              <w:rPr>
                <w:rFonts w:ascii="Arial" w:hAnsi="Arial"/>
                <w:color w:val="000000"/>
                <w:sz w:val="17"/>
              </w:rPr>
              <w:t>shares and 43,749,045</w:t>
            </w:r>
            <w:r>
              <w:rPr>
                <w:rFonts w:ascii="Times New Roman" w:hAnsi="Times New Roman"/>
                <w:color w:val="000000"/>
                <w:sz w:val="20"/>
              </w:rPr>
              <w:t> </w:t>
            </w:r>
            <w:r>
              <w:rPr>
                <w:rFonts w:ascii="Arial" w:hAnsi="Arial"/>
                <w:color w:val="000000"/>
                <w:sz w:val="17"/>
              </w:rPr>
              <w:t>shares authorized as of June 30, 2026 and December 31, 2025, respectively; and no</w:t>
            </w:r>
            <w:r>
              <w:rPr>
                <w:rFonts w:ascii="Times New Roman" w:hAnsi="Times New Roman"/>
                <w:color w:val="000000"/>
                <w:sz w:val="20"/>
              </w:rPr>
              <w:t> </w:t>
            </w:r>
            <w:r>
              <w:rPr>
                <w:rFonts w:ascii="Arial" w:hAnsi="Arial"/>
                <w:color w:val="000000"/>
                <w:sz w:val="17"/>
              </w:rPr>
              <w:t>shares and 43,732,797</w:t>
            </w:r>
            <w:r>
              <w:rPr>
                <w:rFonts w:ascii="Times New Roman" w:hAnsi="Times New Roman"/>
                <w:color w:val="000000"/>
                <w:sz w:val="20"/>
              </w:rPr>
              <w:t> </w:t>
            </w:r>
            <w:r>
              <w:rPr>
                <w:rFonts w:ascii="Arial" w:hAnsi="Arial"/>
                <w:color w:val="000000"/>
                <w:sz w:val="17"/>
              </w:rPr>
              <w:t>shares issued and outstanding as of June 30, 2026 and December 31, 2025, respectively (liquidation preference $0</w:t>
            </w:r>
            <w:r>
              <w:rPr>
                <w:rFonts w:ascii="Times New Roman" w:hAnsi="Times New Roman"/>
                <w:color w:val="000000"/>
                <w:sz w:val="20"/>
              </w:rPr>
              <w:t> </w:t>
            </w:r>
            <w:r>
              <w:rPr>
                <w:rFonts w:ascii="Arial" w:hAnsi="Arial"/>
                <w:color w:val="000000"/>
                <w:sz w:val="17"/>
              </w:rPr>
              <w:t>and $84,796</w:t>
            </w:r>
            <w:r>
              <w:rPr>
                <w:rFonts w:ascii="Times New Roman" w:hAnsi="Times New Roman"/>
                <w:color w:val="000000"/>
                <w:sz w:val="20"/>
              </w:rPr>
              <w:t> </w:t>
            </w:r>
            <w:r>
              <w:rPr>
                <w:rFonts w:ascii="Arial" w:hAnsi="Arial"/>
                <w:color w:val="000000"/>
                <w:sz w:val="17"/>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216,503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7"/>
              </w:rPr>
              <w:t>Series B convertible preferred stock, $0.0001</w:t>
            </w:r>
            <w:r>
              <w:rPr>
                <w:rFonts w:ascii="Times New Roman" w:hAnsi="Times New Roman"/>
                <w:color w:val="000000"/>
                <w:sz w:val="20"/>
              </w:rPr>
              <w:t> </w:t>
            </w:r>
            <w:r>
              <w:rPr>
                <w:rFonts w:ascii="Arial" w:hAnsi="Arial"/>
                <w:color w:val="000000"/>
                <w:sz w:val="17"/>
              </w:rPr>
              <w:t>par value: no</w:t>
            </w:r>
            <w:r>
              <w:rPr>
                <w:rFonts w:ascii="Times New Roman" w:hAnsi="Times New Roman"/>
                <w:color w:val="000000"/>
                <w:sz w:val="20"/>
              </w:rPr>
              <w:t> </w:t>
            </w:r>
            <w:r>
              <w:rPr>
                <w:rFonts w:ascii="Arial" w:hAnsi="Arial"/>
                <w:color w:val="000000"/>
                <w:sz w:val="17"/>
              </w:rPr>
              <w:t>shares and 26,601,360</w:t>
            </w:r>
            <w:r>
              <w:rPr>
                <w:rFonts w:ascii="Times New Roman" w:hAnsi="Times New Roman"/>
                <w:color w:val="000000"/>
                <w:sz w:val="20"/>
              </w:rPr>
              <w:t> </w:t>
            </w:r>
            <w:r>
              <w:rPr>
                <w:rFonts w:ascii="Arial" w:hAnsi="Arial"/>
                <w:color w:val="000000"/>
                <w:sz w:val="17"/>
              </w:rPr>
              <w:t>shares authorized as of June 30, 2026 and December 31, 2025, respectively; and no</w:t>
            </w:r>
            <w:r>
              <w:rPr>
                <w:rFonts w:ascii="Times New Roman" w:hAnsi="Times New Roman"/>
                <w:color w:val="000000"/>
                <w:sz w:val="20"/>
              </w:rPr>
              <w:t> </w:t>
            </w:r>
            <w:r>
              <w:rPr>
                <w:rFonts w:ascii="Arial" w:hAnsi="Arial"/>
                <w:color w:val="000000"/>
                <w:sz w:val="17"/>
              </w:rPr>
              <w:t>shares and 26,601,360</w:t>
            </w:r>
            <w:r>
              <w:rPr>
                <w:rFonts w:ascii="Times New Roman" w:hAnsi="Times New Roman"/>
                <w:color w:val="000000"/>
                <w:sz w:val="20"/>
              </w:rPr>
              <w:t> </w:t>
            </w:r>
            <w:r>
              <w:rPr>
                <w:rFonts w:ascii="Arial" w:hAnsi="Arial"/>
                <w:color w:val="000000"/>
                <w:sz w:val="17"/>
              </w:rPr>
              <w:t>shares issued and outstanding as of June 30, 2026 and December 31, 2025, respectively (liquidation preference $0</w:t>
            </w:r>
            <w:r>
              <w:rPr>
                <w:rFonts w:ascii="Times New Roman" w:hAnsi="Times New Roman"/>
                <w:color w:val="000000"/>
                <w:sz w:val="20"/>
              </w:rPr>
              <w:t> </w:t>
            </w:r>
            <w:r>
              <w:rPr>
                <w:rFonts w:ascii="Arial" w:hAnsi="Arial"/>
                <w:color w:val="000000"/>
                <w:sz w:val="17"/>
              </w:rPr>
              <w:t>and $66,100</w:t>
            </w:r>
            <w:r>
              <w:rPr>
                <w:rFonts w:ascii="Times New Roman" w:hAnsi="Times New Roman"/>
                <w:color w:val="000000"/>
                <w:sz w:val="20"/>
              </w:rPr>
              <w:t> </w:t>
            </w:r>
            <w:r>
              <w:rPr>
                <w:rFonts w:ascii="Arial" w:hAnsi="Arial"/>
                <w:color w:val="000000"/>
                <w:sz w:val="17"/>
              </w:rPr>
              <w:t>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167,765</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7"/>
              </w:rPr>
              <w:t>Series C convertible preferred stock, $0.0001</w:t>
            </w:r>
            <w:r>
              <w:rPr>
                <w:rFonts w:ascii="Times New Roman" w:hAnsi="Times New Roman"/>
                <w:color w:val="000000"/>
                <w:sz w:val="20"/>
              </w:rPr>
              <w:t> </w:t>
            </w:r>
            <w:r>
              <w:rPr>
                <w:rFonts w:ascii="Arial" w:hAnsi="Arial"/>
                <w:color w:val="000000"/>
                <w:sz w:val="17"/>
              </w:rPr>
              <w:t>par value: no</w:t>
            </w:r>
            <w:r>
              <w:rPr>
                <w:rFonts w:ascii="Times New Roman" w:hAnsi="Times New Roman"/>
                <w:color w:val="000000"/>
                <w:sz w:val="20"/>
              </w:rPr>
              <w:t> </w:t>
            </w:r>
            <w:r>
              <w:rPr>
                <w:rFonts w:ascii="Arial" w:hAnsi="Arial"/>
                <w:color w:val="000000"/>
                <w:sz w:val="17"/>
              </w:rPr>
              <w:t>shares and 24,901,598</w:t>
            </w:r>
            <w:r>
              <w:rPr>
                <w:rFonts w:ascii="Times New Roman" w:hAnsi="Times New Roman"/>
                <w:color w:val="000000"/>
                <w:sz w:val="20"/>
              </w:rPr>
              <w:t> </w:t>
            </w:r>
            <w:r>
              <w:rPr>
                <w:rFonts w:ascii="Arial" w:hAnsi="Arial"/>
                <w:color w:val="000000"/>
                <w:sz w:val="17"/>
              </w:rPr>
              <w:t>shares authorized as of June 30, 2026 and December 31, 2025, respectively; and no</w:t>
            </w:r>
            <w:r>
              <w:rPr>
                <w:rFonts w:ascii="Times New Roman" w:hAnsi="Times New Roman"/>
                <w:color w:val="000000"/>
                <w:sz w:val="20"/>
              </w:rPr>
              <w:t> </w:t>
            </w:r>
            <w:r>
              <w:rPr>
                <w:rFonts w:ascii="Arial" w:hAnsi="Arial"/>
                <w:color w:val="000000"/>
                <w:sz w:val="17"/>
              </w:rPr>
              <w:t>shares and 24,901,598</w:t>
            </w:r>
            <w:r>
              <w:rPr>
                <w:rFonts w:ascii="Times New Roman" w:hAnsi="Times New Roman"/>
                <w:color w:val="000000"/>
                <w:sz w:val="20"/>
              </w:rPr>
              <w:t> </w:t>
            </w:r>
            <w:r>
              <w:rPr>
                <w:rFonts w:ascii="Arial" w:hAnsi="Arial"/>
                <w:color w:val="000000"/>
                <w:sz w:val="17"/>
              </w:rPr>
              <w:t>shares issued and outstanding as of June 30, 2026 and December 31, 2025, respectively (liquidation preference $0</w:t>
            </w:r>
            <w:r>
              <w:rPr>
                <w:rFonts w:ascii="Times New Roman" w:hAnsi="Times New Roman"/>
                <w:color w:val="000000"/>
                <w:sz w:val="20"/>
              </w:rPr>
              <w:t> </w:t>
            </w:r>
            <w:r>
              <w:rPr>
                <w:rFonts w:ascii="Arial" w:hAnsi="Arial"/>
                <w:color w:val="000000"/>
                <w:sz w:val="17"/>
              </w:rPr>
              <w:t>and $49,065</w:t>
            </w:r>
            <w:r>
              <w:rPr>
                <w:rFonts w:ascii="Times New Roman" w:hAnsi="Times New Roman"/>
                <w:color w:val="000000"/>
                <w:sz w:val="20"/>
              </w:rPr>
              <w:t> </w:t>
            </w:r>
            <w:r>
              <w:rPr>
                <w:rFonts w:ascii="Arial" w:hAnsi="Arial"/>
                <w:color w:val="000000"/>
                <w:sz w:val="17"/>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123,259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7"/>
              </w:rPr>
              <w:t>Series D convertible preferred stock, $0.0001</w:t>
            </w:r>
            <w:r>
              <w:rPr>
                <w:rFonts w:ascii="Times New Roman" w:hAnsi="Times New Roman"/>
                <w:color w:val="000000"/>
                <w:sz w:val="20"/>
              </w:rPr>
              <w:t> </w:t>
            </w:r>
            <w:r>
              <w:rPr>
                <w:rFonts w:ascii="Arial" w:hAnsi="Arial"/>
                <w:color w:val="000000"/>
                <w:sz w:val="17"/>
              </w:rPr>
              <w:t>par value: no</w:t>
            </w:r>
            <w:r>
              <w:rPr>
                <w:rFonts w:ascii="Times New Roman" w:hAnsi="Times New Roman"/>
                <w:color w:val="000000"/>
                <w:sz w:val="20"/>
              </w:rPr>
              <w:t> </w:t>
            </w:r>
            <w:r>
              <w:rPr>
                <w:rFonts w:ascii="Arial" w:hAnsi="Arial"/>
                <w:color w:val="000000"/>
                <w:sz w:val="17"/>
              </w:rPr>
              <w:t>shares and 142,016,823</w:t>
            </w:r>
            <w:r>
              <w:rPr>
                <w:rFonts w:ascii="Times New Roman" w:hAnsi="Times New Roman"/>
                <w:color w:val="000000"/>
                <w:sz w:val="20"/>
              </w:rPr>
              <w:t> </w:t>
            </w:r>
            <w:r>
              <w:rPr>
                <w:rFonts w:ascii="Arial" w:hAnsi="Arial"/>
                <w:color w:val="000000"/>
                <w:sz w:val="17"/>
              </w:rPr>
              <w:t>shares authorized as of June 30, 2026 and December 31, 2025, respectively; and no</w:t>
            </w:r>
            <w:r>
              <w:rPr>
                <w:rFonts w:ascii="Times New Roman" w:hAnsi="Times New Roman"/>
                <w:color w:val="000000"/>
                <w:sz w:val="20"/>
              </w:rPr>
              <w:t> </w:t>
            </w:r>
            <w:r>
              <w:rPr>
                <w:rFonts w:ascii="Arial" w:hAnsi="Arial"/>
                <w:color w:val="000000"/>
                <w:sz w:val="17"/>
              </w:rPr>
              <w:t>shares and 141,950,377</w:t>
            </w:r>
            <w:r>
              <w:rPr>
                <w:rFonts w:ascii="Times New Roman" w:hAnsi="Times New Roman"/>
                <w:color w:val="000000"/>
                <w:sz w:val="20"/>
              </w:rPr>
              <w:t> </w:t>
            </w:r>
            <w:r>
              <w:rPr>
                <w:rFonts w:ascii="Arial" w:hAnsi="Arial"/>
                <w:color w:val="000000"/>
                <w:sz w:val="17"/>
              </w:rPr>
              <w:t>shares issued and outstanding as of June 30, 2026 and December 31, 2025, respectively (liquidation preference $0</w:t>
            </w:r>
            <w:r>
              <w:rPr>
                <w:rFonts w:ascii="Times New Roman" w:hAnsi="Times New Roman"/>
                <w:color w:val="000000"/>
                <w:sz w:val="20"/>
              </w:rPr>
              <w:t> </w:t>
            </w:r>
            <w:r>
              <w:rPr>
                <w:rFonts w:ascii="Arial" w:hAnsi="Arial"/>
                <w:color w:val="000000"/>
                <w:sz w:val="17"/>
              </w:rPr>
              <w:t>and $213,631</w:t>
            </w:r>
            <w:r>
              <w:rPr>
                <w:rFonts w:ascii="Times New Roman" w:hAnsi="Times New Roman"/>
                <w:color w:val="000000"/>
                <w:sz w:val="20"/>
              </w:rPr>
              <w:t> </w:t>
            </w:r>
            <w:r>
              <w:rPr>
                <w:rFonts w:ascii="Arial" w:hAnsi="Arial"/>
                <w:color w:val="000000"/>
                <w:sz w:val="17"/>
              </w:rPr>
              <w:t>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196,031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Common stock, $0.0001</w:t>
            </w:r>
            <w:r>
              <w:rPr>
                <w:rFonts w:ascii="Times New Roman" w:hAnsi="Times New Roman"/>
                <w:color w:val="000000"/>
                <w:sz w:val="20"/>
              </w:rPr>
              <w:t> </w:t>
            </w:r>
            <w:r>
              <w:rPr>
                <w:rFonts w:ascii="Arial" w:hAnsi="Arial"/>
                <w:color w:val="000000"/>
                <w:sz w:val="17"/>
              </w:rPr>
              <w:t>par value: 500,000,000</w:t>
            </w:r>
            <w:r>
              <w:rPr>
                <w:rFonts w:ascii="Times New Roman" w:hAnsi="Times New Roman"/>
                <w:color w:val="000000"/>
                <w:sz w:val="20"/>
              </w:rPr>
              <w:t> </w:t>
            </w:r>
            <w:r>
              <w:rPr>
                <w:rFonts w:ascii="Arial" w:hAnsi="Arial"/>
                <w:color w:val="000000"/>
                <w:sz w:val="17"/>
              </w:rPr>
              <w:t>and 365,081,240</w:t>
            </w:r>
            <w:r>
              <w:rPr>
                <w:rFonts w:ascii="Times New Roman" w:hAnsi="Times New Roman"/>
                <w:color w:val="000000"/>
                <w:sz w:val="20"/>
              </w:rPr>
              <w:t> </w:t>
            </w:r>
            <w:r>
              <w:rPr>
                <w:rFonts w:ascii="Arial" w:hAnsi="Arial"/>
                <w:color w:val="000000"/>
                <w:sz w:val="17"/>
              </w:rPr>
              <w:t>shares authorized as of June 30, 2026 and December 31, 2025, respectively; 48,031,320</w:t>
            </w:r>
            <w:r>
              <w:rPr>
                <w:rFonts w:ascii="Times New Roman" w:hAnsi="Times New Roman"/>
                <w:color w:val="000000"/>
                <w:sz w:val="20"/>
              </w:rPr>
              <w:t> </w:t>
            </w:r>
            <w:r>
              <w:rPr>
                <w:rFonts w:ascii="Arial" w:hAnsi="Arial"/>
                <w:color w:val="000000"/>
                <w:sz w:val="17"/>
              </w:rPr>
              <w:t>shares and 2,472,757</w:t>
            </w:r>
            <w:r>
              <w:rPr>
                <w:rFonts w:ascii="Times New Roman" w:hAnsi="Times New Roman"/>
                <w:color w:val="000000"/>
                <w:sz w:val="20"/>
              </w:rPr>
              <w:t> </w:t>
            </w:r>
            <w:r>
              <w:rPr>
                <w:rFonts w:ascii="Arial" w:hAnsi="Arial"/>
                <w:color w:val="000000"/>
                <w:sz w:val="17"/>
              </w:rPr>
              <w:t>shares issued as of June 30, 2026 and December 31, 2025, respectively; 47,891,251</w:t>
            </w:r>
            <w:r>
              <w:rPr>
                <w:rFonts w:ascii="Times New Roman" w:hAnsi="Times New Roman"/>
                <w:color w:val="000000"/>
                <w:sz w:val="20"/>
              </w:rPr>
              <w:t> </w:t>
            </w:r>
            <w:r>
              <w:rPr>
                <w:rFonts w:ascii="Arial" w:hAnsi="Arial"/>
                <w:color w:val="000000"/>
                <w:sz w:val="17"/>
              </w:rPr>
              <w:t>shares and 2,306,207</w:t>
            </w:r>
            <w:r>
              <w:rPr>
                <w:rFonts w:ascii="Times New Roman" w:hAnsi="Times New Roman"/>
                <w:color w:val="000000"/>
                <w:sz w:val="20"/>
              </w:rPr>
              <w:t> </w:t>
            </w:r>
            <w:r>
              <w:rPr>
                <w:rFonts w:ascii="Arial" w:hAnsi="Arial"/>
                <w:color w:val="000000"/>
                <w:sz w:val="17"/>
              </w:rPr>
              <w:t>shares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Preferred stock, $0.0001</w:t>
            </w:r>
            <w:r>
              <w:rPr>
                <w:rFonts w:ascii="Times New Roman" w:hAnsi="Times New Roman"/>
                <w:color w:val="000000"/>
                <w:sz w:val="20"/>
              </w:rPr>
              <w:t> </w:t>
            </w:r>
            <w:r>
              <w:rPr>
                <w:rFonts w:ascii="Arial" w:hAnsi="Arial"/>
                <w:color w:val="000000"/>
                <w:sz w:val="17"/>
              </w:rPr>
              <w:t>par value: 50,000,000</w:t>
            </w:r>
            <w:r>
              <w:rPr>
                <w:rFonts w:ascii="Times New Roman" w:hAnsi="Times New Roman"/>
                <w:color w:val="000000"/>
                <w:sz w:val="20"/>
              </w:rPr>
              <w:t> </w:t>
            </w:r>
            <w:r>
              <w:rPr>
                <w:rFonts w:ascii="Arial" w:hAnsi="Arial"/>
                <w:color w:val="000000"/>
                <w:sz w:val="17"/>
              </w:rPr>
              <w:t>shares and no</w:t>
            </w:r>
            <w:r>
              <w:rPr>
                <w:rFonts w:ascii="Times New Roman" w:hAnsi="Times New Roman"/>
                <w:color w:val="000000"/>
                <w:sz w:val="20"/>
              </w:rPr>
              <w:t> </w:t>
            </w:r>
            <w:r>
              <w:rPr>
                <w:rFonts w:ascii="Arial" w:hAnsi="Arial"/>
                <w:color w:val="000000"/>
                <w:sz w:val="17"/>
              </w:rPr>
              <w:t>shares authorized as of June 30, 2026 and December 31, 2025; no</w:t>
            </w:r>
            <w:r>
              <w:rPr>
                <w:rFonts w:ascii="Times New Roman" w:hAnsi="Times New Roman"/>
                <w:color w:val="000000"/>
                <w:sz w:val="20"/>
              </w:rPr>
              <w:t> </w:t>
            </w:r>
            <w:r>
              <w:rPr>
                <w:rFonts w:ascii="Arial" w:hAnsi="Arial"/>
                <w:color w:val="000000"/>
                <w:sz w:val="17"/>
              </w:rPr>
              <w:t>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1,080,910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79,616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(568,139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421,221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(488,278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w:t>
            </w:r>
          </w:p>
        </w:tc>
      </w:tr>
      <w:tr>
        <w:trPr/>
        <w:tc>
          <w:tcPr>
            <w:tcW w:w="7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Total liabilities, convertible preferred stock,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483,850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269,788</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5" w:name="consolidated_statements_of_operations"/>
      <w:bookmarkEnd w:id="5"/>
      <w:r>
        <w:rPr>
          <w:rFonts w:ascii="Arial" w:hAnsi="Arial"/>
          <w:b/>
          <w:color w:val="000000"/>
          <w:sz w:val="20"/>
        </w:rPr>
        <w:t>Condensed Consolidated Statements of 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5"/>
        <w:gridCol w:w="706"/>
        <w:gridCol w:w="213"/>
        <w:gridCol w:w="1077"/>
        <w:gridCol w:w="167"/>
        <w:gridCol w:w="147"/>
        <w:gridCol w:w="213"/>
        <w:gridCol w:w="971"/>
        <w:gridCol w:w="166"/>
        <w:gridCol w:w="146"/>
        <w:gridCol w:w="211"/>
        <w:gridCol w:w="1066"/>
        <w:gridCol w:w="166"/>
        <w:gridCol w:w="146"/>
        <w:gridCol w:w="211"/>
        <w:gridCol w:w="961"/>
        <w:gridCol w:w="773"/>
      </w:tblGrid>
      <w:tr>
        <w:trPr/>
        <w:tc>
          <w:tcPr>
            <w:tcW w:w="286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Collaboration revenue</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36,226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69,001</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21,171</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 in fair value of contingent consideration</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(6,214</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55,470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83,958</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loss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(55,470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(81,081</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income</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2,028</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expense</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expense, net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net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(52,796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(79,500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(52,788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(79,670</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 income:</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1,889</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(loss) on marketable securities, net of tax</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comprehensive (loss) income</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1,884</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(53,146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(77,786</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 (see Note 15)</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(52,788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(79,670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(67.11</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common stock outstanding, basic and diluted</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30,277,051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18,034,399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1,187,080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6" w:name="consolidated_statements_of_convertible"/>
      <w:bookmarkEnd w:id="6"/>
      <w:r>
        <w:rPr>
          <w:rFonts w:ascii="Arial" w:hAnsi="Arial"/>
          <w:b/>
          <w:color w:val="000000"/>
          <w:sz w:val="20"/>
        </w:rPr>
        <w:t>Condensed Consolidated Statements of Convertible Preferred Stock and Stockholders’ Deficit</w:t>
      </w:r>
    </w:p>
    <w:p>
      <w:pPr>
        <w:pStyle w:val="TextBody"/>
        <w:bidi w:val="0"/>
        <w:jc w:val="center"/>
        <w:rPr>
          <w:rFonts w:ascii="Arial" w:hAnsi="Arial"/>
          <w:b/>
          <w:color w:val="000000"/>
          <w:sz w:val="20"/>
        </w:rPr>
      </w:pPr>
      <w:r>
        <w:rPr>
          <w:rFonts w:ascii="Arial" w:hAnsi="Arial"/>
          <w:b/>
          <w:color w:val="000000"/>
          <w:sz w:val="20"/>
        </w:rPr>
        <w:t>(in thousands, except share and per share data) (unaudited)</w:t>
      </w:r>
    </w:p>
    <w:p>
      <w:pPr>
        <w:pStyle w:val="TextBody"/>
        <w:bidi w:val="0"/>
        <w:jc w:val="center"/>
        <w:rPr/>
      </w:pPr>
      <w:r>
        <w:rPr/>
        <w:t> </w:t>
      </w:r>
    </w:p>
    <w:tbl>
      <w:tblPr>
        <w:tblW w:w="14593" w:type="dxa"/>
        <w:jc w:val="left"/>
        <w:tblInd w:w="0" w:type="dxa"/>
        <w:tblLayout w:type="fixed"/>
        <w:tblCellMar>
          <w:top w:w="28" w:type="dxa"/>
          <w:left w:w="28" w:type="dxa"/>
          <w:bottom w:w="28" w:type="dxa"/>
          <w:right w:w="28" w:type="dxa"/>
        </w:tblCellMar>
      </w:tblPr>
      <w:tblGrid>
        <w:gridCol w:w="901"/>
        <w:gridCol w:w="146"/>
        <w:gridCol w:w="691"/>
        <w:gridCol w:w="151"/>
        <w:gridCol w:w="146"/>
        <w:gridCol w:w="166"/>
        <w:gridCol w:w="541"/>
        <w:gridCol w:w="151"/>
        <w:gridCol w:w="146"/>
        <w:gridCol w:w="691"/>
        <w:gridCol w:w="151"/>
        <w:gridCol w:w="146"/>
        <w:gridCol w:w="166"/>
        <w:gridCol w:w="541"/>
        <w:gridCol w:w="151"/>
        <w:gridCol w:w="146"/>
        <w:gridCol w:w="691"/>
        <w:gridCol w:w="151"/>
        <w:gridCol w:w="146"/>
        <w:gridCol w:w="166"/>
        <w:gridCol w:w="541"/>
        <w:gridCol w:w="151"/>
        <w:gridCol w:w="146"/>
        <w:gridCol w:w="751"/>
        <w:gridCol w:w="151"/>
        <w:gridCol w:w="146"/>
        <w:gridCol w:w="166"/>
        <w:gridCol w:w="541"/>
        <w:gridCol w:w="151"/>
        <w:gridCol w:w="146"/>
        <w:gridCol w:w="646"/>
        <w:gridCol w:w="146"/>
        <w:gridCol w:w="185"/>
        <w:gridCol w:w="386"/>
        <w:gridCol w:w="146"/>
        <w:gridCol w:w="166"/>
        <w:gridCol w:w="586"/>
        <w:gridCol w:w="146"/>
        <w:gridCol w:w="197"/>
        <w:gridCol w:w="644"/>
        <w:gridCol w:w="151"/>
        <w:gridCol w:w="306"/>
        <w:gridCol w:w="640"/>
        <w:gridCol w:w="151"/>
        <w:gridCol w:w="193"/>
        <w:gridCol w:w="633"/>
        <w:gridCol w:w="196"/>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A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B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C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D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5"/>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43,732,797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216,503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141,950,377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196,031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2,306,207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(568,139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(488,278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Exercises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159,842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Exercise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(38,262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(38,262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43,732,797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216,503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141,950,377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196,031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double" w:sz="6" w:space="0" w:color="000000"/>
            </w:tcBorders>
            <w:shd w:fill="FFFFFF" w:val="clear"/>
            <w:tcMar>
              <w:top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2,481,339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82,854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(606,401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(523,694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Exercises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97,310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upon initial public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17,488,889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288,172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288,174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Conversion of preferred stock and non-voting common stock into common stock and preferred stock warrants into common stock warrants,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(43,732,797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(216,503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(141,950,377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(196,031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24,523,119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703,627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703,630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Conversion of common stock warrants into common stock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3,287,352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(52,788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(52,788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bottom w:val="double" w:sz="6" w:space="0" w:color="000000"/>
            </w:tcBorders>
            <w:shd w:fill="CFF0FC" w:val="clear"/>
            <w:tcMar>
              <w:top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47,891,252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1,080,910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(659,189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421,221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4022" w:type="dxa"/>
        <w:jc w:val="left"/>
        <w:tblInd w:w="0" w:type="dxa"/>
        <w:tblLayout w:type="fixed"/>
        <w:tblCellMar>
          <w:top w:w="28" w:type="dxa"/>
          <w:left w:w="28" w:type="dxa"/>
          <w:bottom w:w="28" w:type="dxa"/>
          <w:right w:w="28" w:type="dxa"/>
        </w:tblCellMar>
      </w:tblPr>
      <w:tblGrid>
        <w:gridCol w:w="901"/>
        <w:gridCol w:w="146"/>
        <w:gridCol w:w="646"/>
        <w:gridCol w:w="151"/>
        <w:gridCol w:w="146"/>
        <w:gridCol w:w="166"/>
        <w:gridCol w:w="496"/>
        <w:gridCol w:w="151"/>
        <w:gridCol w:w="146"/>
        <w:gridCol w:w="646"/>
        <w:gridCol w:w="146"/>
        <w:gridCol w:w="146"/>
        <w:gridCol w:w="166"/>
        <w:gridCol w:w="496"/>
        <w:gridCol w:w="146"/>
        <w:gridCol w:w="146"/>
        <w:gridCol w:w="646"/>
        <w:gridCol w:w="146"/>
        <w:gridCol w:w="146"/>
        <w:gridCol w:w="166"/>
        <w:gridCol w:w="496"/>
        <w:gridCol w:w="146"/>
        <w:gridCol w:w="146"/>
        <w:gridCol w:w="646"/>
        <w:gridCol w:w="146"/>
        <w:gridCol w:w="146"/>
        <w:gridCol w:w="166"/>
        <w:gridCol w:w="496"/>
        <w:gridCol w:w="146"/>
        <w:gridCol w:w="146"/>
        <w:gridCol w:w="586"/>
        <w:gridCol w:w="146"/>
        <w:gridCol w:w="185"/>
        <w:gridCol w:w="386"/>
        <w:gridCol w:w="146"/>
        <w:gridCol w:w="190"/>
        <w:gridCol w:w="501"/>
        <w:gridCol w:w="146"/>
        <w:gridCol w:w="197"/>
        <w:gridCol w:w="644"/>
        <w:gridCol w:w="151"/>
        <w:gridCol w:w="267"/>
        <w:gridCol w:w="679"/>
        <w:gridCol w:w="151"/>
        <w:gridCol w:w="193"/>
        <w:gridCol w:w="633"/>
        <w:gridCol w:w="196"/>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A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B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C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D convertible</w:t>
              <w:br/>
              <w:t>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45,414,682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223,869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959,115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(419,492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(382,527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Exercises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(38,435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(38,435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45,414,682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223,869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992,067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(457,927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(417,173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3,698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Series D convertible preferred stock and common stock warrants, net of issuance costs of $860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79,518,143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109,095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9,657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Conversion of preferred stock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(1,681,885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58,473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(41,235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(41,235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43,732,797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216,503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79,518,143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109,095</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1,075,837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62,257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(499,162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(436,362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7" w:name="consolidated_statements_of_cashflows"/>
      <w:bookmarkEnd w:id="7"/>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8"/>
        <w:gridCol w:w="146"/>
        <w:gridCol w:w="213"/>
        <w:gridCol w:w="849"/>
        <w:gridCol w:w="167"/>
        <w:gridCol w:w="147"/>
        <w:gridCol w:w="213"/>
        <w:gridCol w:w="788"/>
        <w:gridCol w:w="814"/>
      </w:tblGrid>
      <w:tr>
        <w:trPr/>
        <w:tc>
          <w:tcPr>
            <w:tcW w:w="6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(79,670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Loss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Right-of-use asset impairment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Accretion of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Non-cash rent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 in fair value of contingent consideration and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(6,758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(75,543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(72,882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69,900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58,250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(246,489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(176,642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57,432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the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the 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Principal 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the issuance of common stock upon IPO,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291,477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the issuance of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118,752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292,644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118,923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40,587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103,865</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44,897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62,346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85,484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166,211</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163,001</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in other non-current assets,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85,484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166,211</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 of non-cash financing and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Offering costs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Right-of-use assets obtained in exchange for new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Remeasurement of right-of-use assets and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Conversion of preferred stock and preferred stock warrants into common stock and common stock warrants,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703,630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Conversion of preferred stock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8" w:name="notes_to_unaudited_condensed"/>
      <w:bookmarkEnd w:id="8"/>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(in thousands, except share and per share amounts) (unaudited)</w:t>
      </w:r>
    </w:p>
    <w:p>
      <w:pPr>
        <w:pStyle w:val="TextBody"/>
        <w:bidi w:val="0"/>
        <w:spacing w:before="200" w:after="283"/>
        <w:jc w:val="left"/>
        <w:rPr>
          <w:rFonts w:ascii="Arial" w:hAnsi="Arial"/>
          <w:b/>
          <w:color w:val="000000"/>
          <w:sz w:val="20"/>
        </w:rPr>
      </w:pPr>
      <w:r>
        <w:rPr>
          <w:rFonts w:ascii="Arial" w:hAnsi="Arial"/>
          <w:b/>
          <w:color w:val="000000"/>
          <w:sz w:val="20"/>
        </w:rPr>
        <w:t>1.</w:t>
      </w:r>
    </w:p>
    <w:p>
      <w:pPr>
        <w:pStyle w:val="TextBody"/>
        <w:bidi w:val="0"/>
        <w:spacing w:before="200" w:after="283"/>
        <w:jc w:val="left"/>
        <w:rPr>
          <w:rFonts w:ascii="Arial" w:hAnsi="Arial"/>
          <w:b/>
          <w:color w:val="000000"/>
          <w:sz w:val="20"/>
        </w:rPr>
      </w:pPr>
      <w:r>
        <w:rPr>
          <w:rFonts w:ascii="Arial" w:hAnsi="Arial"/>
          <w:b/>
          <w:color w:val="000000"/>
          <w:sz w:val="20"/>
        </w:rPr>
        <w:t>Description of Business and Liquidity</w:t>
      </w:r>
    </w:p>
    <w:p>
      <w:pPr>
        <w:pStyle w:val="TextBody"/>
        <w:bidi w:val="0"/>
        <w:spacing w:before="240" w:after="283"/>
        <w:jc w:val="left"/>
        <w:rPr>
          <w:rFonts w:ascii="Arial" w:hAnsi="Arial"/>
          <w:b/>
          <w:i/>
          <w:color w:val="000000"/>
          <w:sz w:val="20"/>
        </w:rPr>
      </w:pPr>
      <w:r>
        <w:rPr>
          <w:rFonts w:ascii="Arial" w:hAnsi="Arial"/>
          <w:b/>
          <w:i/>
          <w:color w:val="000000"/>
          <w:sz w:val="20"/>
        </w:rPr>
        <w:t>Business</w:t>
      </w:r>
    </w:p>
    <w:p>
      <w:pPr>
        <w:pStyle w:val="TextBody"/>
        <w:bidi w:val="0"/>
        <w:spacing w:before="240" w:after="283"/>
        <w:jc w:val="left"/>
        <w:rPr>
          <w:rFonts w:ascii="Times New Roman" w:hAnsi="Times New Roman"/>
          <w:sz w:val="20"/>
        </w:rPr>
      </w:pPr>
      <w:r>
        <w:rPr>
          <w:rFonts w:ascii="Arial" w:hAnsi="Arial"/>
          <w:color w:val="000000"/>
          <w:sz w:val="20"/>
        </w:rPr>
        <w:t>Odyssey Therapeutics, Inc. (the “Company”) is a clinical-stage biopharmaceutical company seeking to transform the standard of care for patients suffering from autoimmune and inflammatory diseases by developing medicines that are designed to precisely target disease pathology.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Company is subject to risks and uncertainties common to early-stage companies in the biotechnology industry, including, but not limited to, completion of preclinical studies and clinical trials, obtaining regulatory approval for product candidates, development by competitors of new technological innovations, dependence on key personnel, protection of proprietary technology, compliance with government regulations and ability to secure additional capital to fund operations. Product candidates currently under development by the Company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and reporting capabilities. Even if product development efforts are successful, it is uncertain when, if ever, the Company will realize significant revenue from product sales.</w:t>
      </w:r>
    </w:p>
    <w:p>
      <w:pPr>
        <w:pStyle w:val="TextBody"/>
        <w:bidi w:val="0"/>
        <w:spacing w:before="240" w:after="240"/>
        <w:jc w:val="left"/>
        <w:rPr>
          <w:rFonts w:ascii="Arial" w:hAnsi="Arial"/>
          <w:b/>
          <w:i/>
          <w:color w:val="000000"/>
          <w:sz w:val="20"/>
        </w:rPr>
      </w:pPr>
      <w:r>
        <w:rPr>
          <w:rFonts w:ascii="Arial" w:hAnsi="Arial"/>
          <w:b/>
          <w:i/>
          <w:color w:val="000000"/>
          <w:sz w:val="20"/>
        </w:rPr>
        <w:t>Reverse Stock Split</w:t>
      </w:r>
    </w:p>
    <w:p>
      <w:pPr>
        <w:pStyle w:val="TextBody"/>
        <w:bidi w:val="0"/>
        <w:spacing w:before="0" w:after="240"/>
        <w:jc w:val="left"/>
        <w:rPr>
          <w:rFonts w:ascii="Times New Roman" w:hAnsi="Times New Roman"/>
          <w:sz w:val="20"/>
        </w:rPr>
      </w:pPr>
      <w:r>
        <w:rPr>
          <w:rFonts w:ascii="Arial" w:hAnsi="Arial"/>
          <w:color w:val="000000"/>
          <w:sz w:val="20"/>
        </w:rPr>
        <w:t>On May 1, 2026, the Company effected a 1-for-9.7170</w:t>
      </w:r>
      <w:r>
        <w:rPr>
          <w:rFonts w:ascii="Times New Roman" w:hAnsi="Times New Roman"/>
          <w:color w:val="000000"/>
          <w:sz w:val="20"/>
        </w:rPr>
        <w:t xml:space="preserve"> </w:t>
      </w:r>
      <w:r>
        <w:rPr>
          <w:rFonts w:ascii="Arial" w:hAnsi="Arial"/>
          <w:color w:val="000000"/>
          <w:sz w:val="20"/>
        </w:rPr>
        <w:t>reverse stock split of its issued and outstanding shares of voting common stock, which also resulted in a proportional adjustments to (i) the conversion ratio for its non-voting common stock, (ii) the existing conversion ratios of each series of its convertible preferred stock, and (iii) the exercise prices and number of outstanding common stock warrants and stock options. Accordingly, all shares of voting common stock, stock options and common stock warrants, the as converted preferred stock, and per share information presented in the accompanying condensed consolidated financial statements and notes thereto have been retroactively adjusted, where applicable, to reflect the reverse stock split. The per share par value and authorized number of shares of the Company’s common stock were not adjusted as a result of the split.</w:t>
      </w:r>
    </w:p>
    <w:p>
      <w:pPr>
        <w:pStyle w:val="TextBody"/>
        <w:bidi w:val="0"/>
        <w:spacing w:before="0" w:after="240"/>
        <w:jc w:val="left"/>
        <w:rPr>
          <w:rFonts w:ascii="Arial" w:hAnsi="Arial"/>
          <w:b/>
          <w:i/>
          <w:color w:val="000000"/>
          <w:sz w:val="20"/>
        </w:rPr>
      </w:pPr>
      <w:r>
        <w:rPr>
          <w:rFonts w:ascii="Arial" w:hAnsi="Arial"/>
          <w:b/>
          <w:i/>
          <w:color w:val="000000"/>
          <w:sz w:val="20"/>
        </w:rPr>
        <w:t>Initial Public Offering</w:t>
      </w:r>
    </w:p>
    <w:p>
      <w:pPr>
        <w:pStyle w:val="TextBody"/>
        <w:bidi w:val="0"/>
        <w:spacing w:before="0" w:after="240"/>
        <w:jc w:val="left"/>
        <w:rPr>
          <w:rFonts w:ascii="Times New Roman" w:hAnsi="Times New Roman"/>
          <w:sz w:val="20"/>
        </w:rPr>
      </w:pPr>
      <w:r>
        <w:rPr>
          <w:rFonts w:ascii="Arial" w:hAnsi="Arial"/>
          <w:color w:val="000000"/>
          <w:sz w:val="20"/>
        </w:rPr>
        <w:t>In May 2026, the Company completed its initial public offering (“IPO”), in which the Company sold 15,500,000</w:t>
      </w:r>
      <w:r>
        <w:rPr>
          <w:rFonts w:ascii="Times New Roman" w:hAnsi="Times New Roman"/>
          <w:color w:val="000000"/>
          <w:sz w:val="20"/>
        </w:rPr>
        <w:t xml:space="preserve"> </w:t>
      </w:r>
      <w:r>
        <w:rPr>
          <w:rFonts w:ascii="Arial" w:hAnsi="Arial"/>
          <w:color w:val="000000"/>
          <w:sz w:val="20"/>
        </w:rPr>
        <w:t>shares of its common stock at a public offering price of $18.00</w:t>
      </w:r>
      <w:r>
        <w:rPr>
          <w:rFonts w:ascii="Times New Roman" w:hAnsi="Times New Roman"/>
          <w:color w:val="000000"/>
          <w:sz w:val="20"/>
        </w:rPr>
        <w:t xml:space="preserve"> </w:t>
      </w:r>
      <w:r>
        <w:rPr>
          <w:rFonts w:ascii="Arial" w:hAnsi="Arial"/>
          <w:color w:val="000000"/>
          <w:sz w:val="20"/>
        </w:rPr>
        <w:t>per share resulting in aggregate net proceeds of approximately $254.9</w:t>
      </w:r>
      <w:r>
        <w:rPr>
          <w:rFonts w:ascii="Times New Roman" w:hAnsi="Times New Roman"/>
          <w:color w:val="000000"/>
          <w:sz w:val="20"/>
        </w:rPr>
        <w:t xml:space="preserve"> </w:t>
      </w:r>
      <w:r>
        <w:rPr>
          <w:rFonts w:ascii="Arial" w:hAnsi="Arial"/>
          <w:color w:val="000000"/>
          <w:sz w:val="20"/>
        </w:rPr>
        <w:t>million, after deducting underwriter discounts and commissions and other offering expenses. Additionally, the Company sold 1,388,889</w:t>
      </w:r>
      <w:r>
        <w:rPr>
          <w:rFonts w:ascii="Times New Roman" w:hAnsi="Times New Roman"/>
          <w:color w:val="000000"/>
          <w:sz w:val="20"/>
        </w:rPr>
        <w:t xml:space="preserve"> </w:t>
      </w:r>
      <w:r>
        <w:rPr>
          <w:rFonts w:ascii="Arial" w:hAnsi="Arial"/>
          <w:color w:val="000000"/>
          <w:sz w:val="20"/>
        </w:rPr>
        <w:t>shares of its common stock in a concurrent private placement at a per share price equal to the public offering price paid in the IPO, resulting in additional net proceeds of approximately $23.3</w:t>
      </w:r>
      <w:r>
        <w:rPr>
          <w:rFonts w:ascii="Times New Roman" w:hAnsi="Times New Roman"/>
          <w:color w:val="000000"/>
          <w:sz w:val="20"/>
        </w:rPr>
        <w:t xml:space="preserve"> </w:t>
      </w:r>
      <w:r>
        <w:rPr>
          <w:rFonts w:ascii="Arial" w:hAnsi="Arial"/>
          <w:color w:val="000000"/>
          <w:sz w:val="20"/>
        </w:rPr>
        <w:t>million after deducting placement agent fees. In June 2026, the Company also sold an additional 600,000</w:t>
      </w:r>
      <w:r>
        <w:rPr>
          <w:rFonts w:ascii="Times New Roman" w:hAnsi="Times New Roman"/>
          <w:color w:val="000000"/>
          <w:sz w:val="20"/>
        </w:rPr>
        <w:t xml:space="preserve"> </w:t>
      </w:r>
      <w:r>
        <w:rPr>
          <w:rFonts w:ascii="Arial" w:hAnsi="Arial"/>
          <w:color w:val="000000"/>
          <w:sz w:val="20"/>
        </w:rPr>
        <w:t>shares of its common stock to the underwriters at a public offering price of $18.00</w:t>
      </w:r>
      <w:r>
        <w:rPr>
          <w:rFonts w:ascii="Times New Roman" w:hAnsi="Times New Roman"/>
          <w:color w:val="000000"/>
          <w:sz w:val="20"/>
        </w:rPr>
        <w:t xml:space="preserve"> </w:t>
      </w:r>
      <w:r>
        <w:rPr>
          <w:rFonts w:ascii="Arial" w:hAnsi="Arial"/>
          <w:color w:val="000000"/>
          <w:sz w:val="20"/>
        </w:rPr>
        <w:t>per share under the option granted to the underwriters, resulting in aggregate net proceeds of approximately $10.0</w:t>
      </w:r>
      <w:r>
        <w:rPr>
          <w:rFonts w:ascii="Times New Roman" w:hAnsi="Times New Roman"/>
          <w:color w:val="000000"/>
          <w:sz w:val="20"/>
        </w:rPr>
        <w:t xml:space="preserve"> </w:t>
      </w:r>
      <w:r>
        <w:rPr>
          <w:rFonts w:ascii="Arial" w:hAnsi="Arial"/>
          <w:color w:val="000000"/>
          <w:sz w:val="20"/>
        </w:rPr>
        <w:t>million, after deducting underwriter discounts and commissions.</w:t>
      </w:r>
    </w:p>
    <w:p>
      <w:pPr>
        <w:pStyle w:val="TextBody"/>
        <w:bidi w:val="0"/>
        <w:spacing w:before="0" w:after="240"/>
        <w:jc w:val="left"/>
        <w:rPr>
          <w:rFonts w:ascii="Times New Roman" w:hAnsi="Times New Roman"/>
          <w:sz w:val="20"/>
        </w:rPr>
      </w:pPr>
      <w:r>
        <w:rPr>
          <w:rFonts w:ascii="Arial" w:hAnsi="Arial"/>
          <w:color w:val="000000"/>
          <w:sz w:val="20"/>
        </w:rPr>
        <w:t>Immediately prior to the closing of the IPO, the Company’s outstanding convertible preferred stock automatically converted into 24,596,000</w:t>
      </w:r>
      <w:r>
        <w:rPr>
          <w:rFonts w:ascii="Times New Roman" w:hAnsi="Times New Roman"/>
          <w:color w:val="000000"/>
          <w:sz w:val="20"/>
        </w:rPr>
        <w:t xml:space="preserve"> </w:t>
      </w:r>
      <w:r>
        <w:rPr>
          <w:rFonts w:ascii="Arial" w:hAnsi="Arial"/>
          <w:color w:val="000000"/>
          <w:sz w:val="20"/>
        </w:rPr>
        <w:t>shares of common stock, the Company</w:t>
      </w:r>
      <w:r>
        <w:rPr>
          <w:rFonts w:ascii="Times New Roman" w:hAnsi="Times New Roman"/>
          <w:color w:val="000000"/>
          <w:sz w:val="20"/>
        </w:rPr>
        <w:t>’</w:t>
      </w:r>
      <w:r>
        <w:rPr>
          <w:rFonts w:ascii="Arial" w:hAnsi="Arial"/>
          <w:color w:val="000000"/>
          <w:sz w:val="20"/>
        </w:rPr>
        <w:t>s outstanding convertible preferred stock warrants converted into 1,742</w:t>
      </w:r>
      <w:r>
        <w:rPr>
          <w:rFonts w:ascii="Times New Roman" w:hAnsi="Times New Roman"/>
          <w:color w:val="000000"/>
          <w:sz w:val="20"/>
        </w:rPr>
        <w:t xml:space="preserve"> </w:t>
      </w:r>
      <w:r>
        <w:rPr>
          <w:rFonts w:ascii="Arial" w:hAnsi="Arial"/>
          <w:color w:val="000000"/>
          <w:sz w:val="20"/>
        </w:rPr>
        <w:t>warrants to purchase common stock, and the Company’s outstanding common stock warrants were automatically exercised on a net exercise basis into 3,287,352</w:t>
      </w:r>
      <w:r>
        <w:rPr>
          <w:rFonts w:ascii="Times New Roman" w:hAnsi="Times New Roman"/>
          <w:color w:val="000000"/>
          <w:sz w:val="20"/>
        </w:rPr>
        <w:t xml:space="preserve"> </w:t>
      </w:r>
      <w:r>
        <w:rPr>
          <w:rFonts w:ascii="Arial" w:hAnsi="Arial"/>
          <w:color w:val="000000"/>
          <w:sz w:val="20"/>
        </w:rPr>
        <w:t>shares of common stock. Further, 81,240</w:t>
      </w:r>
      <w:r>
        <w:rPr>
          <w:rFonts w:ascii="Times New Roman" w:hAnsi="Times New Roman"/>
          <w:color w:val="000000"/>
          <w:sz w:val="20"/>
        </w:rPr>
        <w:t xml:space="preserve"> </w:t>
      </w:r>
      <w:r>
        <w:rPr>
          <w:rFonts w:ascii="Arial" w:hAnsi="Arial"/>
          <w:color w:val="000000"/>
          <w:sz w:val="20"/>
        </w:rPr>
        <w:t>shares of the Company</w:t>
      </w:r>
      <w:r>
        <w:rPr>
          <w:rFonts w:ascii="Times New Roman" w:hAnsi="Times New Roman"/>
          <w:color w:val="000000"/>
          <w:sz w:val="20"/>
        </w:rPr>
        <w:t>’</w:t>
      </w:r>
      <w:r>
        <w:rPr>
          <w:rFonts w:ascii="Arial" w:hAnsi="Arial"/>
          <w:color w:val="000000"/>
          <w:sz w:val="20"/>
        </w:rPr>
        <w:t>s outstanding non-voting common stock was automatically converted into an aggregate of 8,359</w:t>
      </w:r>
      <w:r>
        <w:rPr>
          <w:rFonts w:ascii="Times New Roman" w:hAnsi="Times New Roman"/>
          <w:color w:val="000000"/>
          <w:sz w:val="20"/>
        </w:rPr>
        <w:t xml:space="preserve"> </w:t>
      </w:r>
      <w:r>
        <w:rPr>
          <w:rFonts w:ascii="Arial" w:hAnsi="Arial"/>
          <w:color w:val="000000"/>
          <w:sz w:val="20"/>
        </w:rPr>
        <w:t>shares of its common stock immediately upon the closing of the IPO. Following the closing of the IPO, no</w:t>
      </w:r>
      <w:r>
        <w:rPr>
          <w:rFonts w:ascii="Times New Roman" w:hAnsi="Times New Roman"/>
          <w:color w:val="000000"/>
          <w:sz w:val="20"/>
        </w:rPr>
        <w:t xml:space="preserve"> </w:t>
      </w:r>
      <w:r>
        <w:rPr>
          <w:rFonts w:ascii="Arial" w:hAnsi="Arial"/>
          <w:color w:val="000000"/>
          <w:sz w:val="20"/>
        </w:rPr>
        <w:t>shares of convertible preferred stock were outstanding. In connection with the closing of the IPO, the Company</w:t>
      </w:r>
      <w:r>
        <w:rPr>
          <w:rFonts w:ascii="Times New Roman" w:hAnsi="Times New Roman"/>
          <w:color w:val="000000"/>
          <w:sz w:val="20"/>
        </w:rPr>
        <w:t>’</w:t>
      </w:r>
      <w:r>
        <w:rPr>
          <w:rFonts w:ascii="Arial" w:hAnsi="Arial"/>
          <w:color w:val="000000"/>
          <w:sz w:val="20"/>
        </w:rPr>
        <w:t>s certificate of incorporation was amended and restated to authorize 500,000,000</w:t>
      </w:r>
      <w:r>
        <w:rPr>
          <w:rFonts w:ascii="Times New Roman" w:hAnsi="Times New Roman"/>
          <w:color w:val="000000"/>
          <w:sz w:val="20"/>
        </w:rPr>
        <w:t xml:space="preserve"> </w:t>
      </w:r>
      <w:r>
        <w:rPr>
          <w:rFonts w:ascii="Arial" w:hAnsi="Arial"/>
          <w:color w:val="000000"/>
          <w:sz w:val="20"/>
        </w:rPr>
        <w:t>shares of common stock, par value $0.0001</w:t>
      </w:r>
      <w:r>
        <w:rPr>
          <w:rFonts w:ascii="Times New Roman" w:hAnsi="Times New Roman"/>
          <w:color w:val="000000"/>
          <w:sz w:val="20"/>
        </w:rPr>
        <w:t xml:space="preserve"> </w:t>
      </w:r>
      <w:r>
        <w:rPr>
          <w:rFonts w:ascii="Arial" w:hAnsi="Arial"/>
          <w:color w:val="000000"/>
          <w:sz w:val="20"/>
        </w:rPr>
        <w:t>per share and 50,000,000</w:t>
      </w:r>
      <w:r>
        <w:rPr>
          <w:rFonts w:ascii="Times New Roman" w:hAnsi="Times New Roman"/>
          <w:color w:val="000000"/>
          <w:sz w:val="20"/>
        </w:rPr>
        <w:t xml:space="preserve"> </w:t>
      </w:r>
      <w:r>
        <w:rPr>
          <w:rFonts w:ascii="Arial" w:hAnsi="Arial"/>
          <w:color w:val="000000"/>
          <w:sz w:val="20"/>
        </w:rPr>
        <w:t>shares of undesignated preferred stock, par value $0.0001</w:t>
      </w:r>
      <w:r>
        <w:rPr>
          <w:rFonts w:ascii="Times New Roman" w:hAnsi="Times New Roman"/>
          <w:color w:val="000000"/>
          <w:sz w:val="20"/>
        </w:rPr>
        <w:t xml:space="preserve"> </w:t>
      </w:r>
      <w:r>
        <w:rPr>
          <w:rFonts w:ascii="Arial" w:hAnsi="Arial"/>
          <w:color w:val="000000"/>
          <w:sz w:val="20"/>
        </w:rPr>
        <w:t>per share.</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i/>
          <w:color w:val="000000"/>
          <w:sz w:val="20"/>
        </w:rPr>
      </w:pPr>
      <w:r>
        <w:rPr>
          <w:rFonts w:ascii="Arial" w:hAnsi="Arial"/>
          <w:b/>
          <w:i/>
          <w:color w:val="000000"/>
          <w:sz w:val="20"/>
        </w:rPr>
        <w:t>Liquidity and Going Concern</w:t>
      </w:r>
    </w:p>
    <w:p>
      <w:pPr>
        <w:pStyle w:val="TextBody"/>
        <w:bidi w:val="0"/>
        <w:spacing w:before="240" w:after="283"/>
        <w:jc w:val="left"/>
        <w:rPr>
          <w:rFonts w:ascii="Arial" w:hAnsi="Arial"/>
          <w:color w:val="000000"/>
          <w:sz w:val="20"/>
        </w:rPr>
      </w:pPr>
      <w:r>
        <w:rPr>
          <w:rFonts w:ascii="Arial" w:hAnsi="Arial"/>
          <w:color w:val="000000"/>
          <w:sz w:val="20"/>
        </w:rPr>
        <w:t>The accompanying condensed consolidated financial statements are prepared in accordance with generally accepted accounting principles applicable to a going concern, which contemplates the realization of assets and the satisfaction of liabilities in the ordinary course of business.</w:t>
      </w:r>
    </w:p>
    <w:p>
      <w:pPr>
        <w:pStyle w:val="TextBody"/>
        <w:bidi w:val="0"/>
        <w:spacing w:before="240" w:after="283"/>
        <w:jc w:val="left"/>
        <w:rPr>
          <w:rFonts w:ascii="Arial" w:hAnsi="Arial"/>
          <w:color w:val="000000"/>
          <w:sz w:val="20"/>
        </w:rPr>
      </w:pPr>
      <w:r>
        <w:rPr>
          <w:rFonts w:ascii="Arial" w:hAnsi="Arial"/>
          <w:color w:val="000000"/>
          <w:sz w:val="20"/>
        </w:rPr>
        <w:t>Since its inception, the Company has devoted substantially all of its resources to business planning, research and development activities, recruiting management and technical staff, raising capital, producing materials for preclinical studies and clinical trials, developing and establishing the Company’s intellectual property portfolio, entering into collaboration agreements, acquiring companies or assets to further the Company’s development programs and building infrastructure to support such activities. The Company has financed its operations primarily through the sale of shares of convertible preferred stock, the proceeds from research collaborations and license agreements, and through the sale of its common stock in its IPO and concurrent private placement completed in May 2026.</w:t>
      </w:r>
    </w:p>
    <w:p>
      <w:pPr>
        <w:pStyle w:val="TextBody"/>
        <w:bidi w:val="0"/>
        <w:spacing w:before="240" w:after="240"/>
        <w:jc w:val="left"/>
        <w:rPr>
          <w:rFonts w:ascii="Times New Roman" w:hAnsi="Times New Roman"/>
          <w:sz w:val="20"/>
        </w:rPr>
      </w:pPr>
      <w:r>
        <w:rPr>
          <w:rFonts w:ascii="Arial" w:hAnsi="Arial"/>
          <w:color w:val="000000"/>
          <w:sz w:val="20"/>
        </w:rPr>
        <w:t>The Company believes that its existing cash, cash equivalents and marketable securities of $433.1</w:t>
      </w:r>
      <w:r>
        <w:rPr>
          <w:rFonts w:ascii="Times New Roman" w:hAnsi="Times New Roman"/>
          <w:color w:val="000000"/>
          <w:sz w:val="20"/>
        </w:rPr>
        <w:t xml:space="preserve"> </w:t>
      </w:r>
      <w:r>
        <w:rPr>
          <w:rFonts w:ascii="Arial" w:hAnsi="Arial"/>
          <w:color w:val="000000"/>
          <w:sz w:val="20"/>
        </w:rPr>
        <w:t>million as of June 30, 2026, will be sufficient to allow the Company to fund operations at least twelve months from the date that the condensed consolidated financial statements are issued.</w:t>
      </w:r>
    </w:p>
    <w:p>
      <w:pPr>
        <w:pStyle w:val="TextBody"/>
        <w:bidi w:val="0"/>
        <w:spacing w:before="0" w:after="0"/>
        <w:jc w:val="left"/>
        <w:rPr>
          <w:rFonts w:ascii="Arial" w:hAnsi="Arial"/>
          <w:b/>
          <w:color w:val="000000"/>
          <w:sz w:val="20"/>
        </w:rPr>
      </w:pPr>
      <w:r>
        <w:rPr>
          <w:rFonts w:ascii="Arial" w:hAnsi="Arial"/>
          <w:b/>
          <w:color w:val="000000"/>
          <w:sz w:val="20"/>
        </w:rPr>
        <w:t>2.</w:t>
      </w:r>
    </w:p>
    <w:p>
      <w:pPr>
        <w:pStyle w:val="TextBody"/>
        <w:bidi w:val="0"/>
        <w:jc w:val="left"/>
        <w:rPr>
          <w:rFonts w:ascii="Arial" w:hAnsi="Arial"/>
          <w:b/>
          <w:color w:val="000000"/>
          <w:sz w:val="20"/>
        </w:rPr>
      </w:pPr>
      <w:r>
        <w:rPr>
          <w:rFonts w:ascii="Arial" w:hAnsi="Arial"/>
          <w:b/>
          <w:color w:val="000000"/>
          <w:sz w:val="20"/>
        </w:rPr>
        <w:t>Basis of Presentation and Summary of Significant Accounting Policies</w:t>
      </w:r>
    </w:p>
    <w:p>
      <w:pPr>
        <w:pStyle w:val="TextBody"/>
        <w:bidi w:val="0"/>
        <w:spacing w:before="240" w:after="240"/>
        <w:jc w:val="left"/>
        <w:rPr>
          <w:rFonts w:ascii="Arial" w:hAnsi="Arial"/>
          <w:color w:val="000000"/>
          <w:sz w:val="20"/>
        </w:rPr>
      </w:pPr>
      <w:r>
        <w:rPr>
          <w:rFonts w:ascii="Arial" w:hAnsi="Arial"/>
          <w:color w:val="000000"/>
          <w:sz w:val="20"/>
        </w:rPr>
        <w:t>The significant accounting policies are disclosed in Note 2 to the audited financial statements for the year ended December 31, 2025, included in the Company’s final prospectus filed pursuant to Rule 424(b)(4) under the Securities Act of 1933, as amended (the “Securities Act”), with the Securities and Exchange Commission on May 8, 2026 (the “IPO Prospectus”).</w:t>
      </w:r>
    </w:p>
    <w:p>
      <w:pPr>
        <w:pStyle w:val="Heading2"/>
        <w:bidi w:val="0"/>
        <w:jc w:val="left"/>
        <w:rPr>
          <w:rFonts w:ascii="Arial" w:hAnsi="Arial"/>
          <w:i/>
          <w:color w:val="000000"/>
          <w:sz w:val="20"/>
        </w:rPr>
      </w:pPr>
      <w:r>
        <w:rPr>
          <w:rFonts w:ascii="Arial" w:hAnsi="Arial"/>
          <w:i/>
          <w:color w:val="000000"/>
          <w:sz w:val="20"/>
        </w:rPr>
        <w:t>Basis of Presentation and Consolidation</w:t>
      </w:r>
    </w:p>
    <w:p>
      <w:pPr>
        <w:pStyle w:val="TextBody"/>
        <w:bidi w:val="0"/>
        <w:spacing w:before="240" w:after="283"/>
        <w:jc w:val="left"/>
        <w:rPr>
          <w:rFonts w:ascii="Times New Roman" w:hAnsi="Times New Roman"/>
          <w:sz w:val="20"/>
        </w:rPr>
      </w:pPr>
      <w:r>
        <w:rPr>
          <w:rFonts w:ascii="Arial" w:hAnsi="Arial"/>
          <w:color w:val="000000"/>
          <w:sz w:val="20"/>
        </w:rPr>
        <w:t>The accompanying unaudited condensed consolidated financial statements as of June 30, 2026 and for the three and six months ended June 30, 2026 and 2025 have been prepared in accordance with U.S. generally accepted accounting principles (“U.S. GAAP”) for interim financial information and pursuant to Article 10 of Regulation S-X of the Securities Exchange Act of 1934, as amended. Accordingly, they do not include all of the information and notes required by U.S. GAAP for complete financial statements. These unaudited condensed consolidated financial statements include only normal and recurring adjustments that the Company believes are necessary to fairly state the Company’s financial position and the results of its operations and cash flows. The results for the three and six months ended June 30, 2026 are not necessarily indicative of the results expected for the full fiscal year or any subsequent interim period. The condensed consolidated balance sheet at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for the year ended December 31, 2025 included in the IPO Prospectus. Any reference in these notes to applicable guidance is meant to refer to the authoritative GAAP as found in the Accounting Standards Codification (“ASC”), and Accounting Standards Updates (“ASU”), of the Financial Accounting Standards Board (“FASB”).</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These condensed consolidated financial statements include the accounts of Odyssey Therapeutics, Inc. and its wholly owned subsidiaries. All intercompany transactions and balances have been eliminated in consolidation.</w:t>
      </w:r>
    </w:p>
    <w:p>
      <w:pPr>
        <w:pStyle w:val="Heading2"/>
        <w:bidi w:val="0"/>
        <w:spacing w:before="360" w:after="120"/>
        <w:jc w:val="left"/>
        <w:rPr>
          <w:rFonts w:ascii="Arial" w:hAnsi="Arial"/>
          <w:i/>
          <w:color w:val="000000"/>
          <w:sz w:val="20"/>
        </w:rPr>
      </w:pPr>
      <w:r>
        <w:rPr>
          <w:rFonts w:ascii="Arial" w:hAnsi="Arial"/>
          <w:i/>
          <w:color w:val="000000"/>
          <w:sz w:val="20"/>
        </w:rPr>
        <w:t>Recently Issued Accounting Standards Updates Not Yet Adopted</w:t>
      </w:r>
    </w:p>
    <w:p>
      <w:pPr>
        <w:pStyle w:val="TextBody"/>
        <w:bidi w:val="0"/>
        <w:spacing w:before="120" w:after="240"/>
        <w:jc w:val="left"/>
        <w:rPr>
          <w:rFonts w:ascii="Times New Roman" w:hAnsi="Times New Roman"/>
          <w:sz w:val="20"/>
        </w:rPr>
      </w:pPr>
      <w:r>
        <w:rPr>
          <w:rFonts w:ascii="Arial" w:hAnsi="Arial"/>
          <w:color w:val="000000"/>
          <w:sz w:val="20"/>
        </w:rPr>
        <w:t>From time to time, new accounting pronouncements are issued by the FASB, or other standard-setting bodies that are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discussed, the Company believes that the impact of recently issued standards that are not yet effective will not have a material impact on its financial position or results of operations upon adoption.</w:t>
      </w:r>
    </w:p>
    <w:p>
      <w:pPr>
        <w:pStyle w:val="TextBody"/>
        <w:bidi w:val="0"/>
        <w:spacing w:before="0" w:after="240"/>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Income Statement—Reporting Comprehensive Income—Expense Disaggregation Disclosures (Subtopic 220-40): Disaggregation of Income Statement Expenses</w:t>
      </w:r>
      <w:r>
        <w:rPr>
          <w:rFonts w:ascii="Arial" w:hAnsi="Arial"/>
          <w:color w:val="000000"/>
          <w:sz w:val="20"/>
        </w:rPr>
        <w:t>, or ASU 2024-03, which is intended to provide more detailed information about specified categories of expenses (purchases of inventory, employee compensation, depreciation, and amortization) included in certain expense captions presented on the statement of operations.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pStyle w:val="TextBody"/>
        <w:bidi w:val="0"/>
        <w:spacing w:before="0" w:after="0"/>
        <w:jc w:val="both"/>
        <w:rPr>
          <w:rFonts w:ascii="Arial" w:hAnsi="Arial"/>
          <w:b/>
          <w:color w:val="000000"/>
          <w:sz w:val="20"/>
        </w:rPr>
      </w:pPr>
      <w:r>
        <w:rPr>
          <w:rFonts w:ascii="Arial" w:hAnsi="Arial"/>
          <w:b/>
          <w:color w:val="000000"/>
          <w:sz w:val="20"/>
        </w:rPr>
        <w:t>3.</w:t>
      </w:r>
    </w:p>
    <w:p>
      <w:pPr>
        <w:pStyle w:val="TextBody"/>
        <w:bidi w:val="0"/>
        <w:jc w:val="both"/>
        <w:rPr>
          <w:rFonts w:ascii="Arial" w:hAnsi="Arial"/>
          <w:b/>
          <w:color w:val="000000"/>
          <w:sz w:val="20"/>
        </w:rPr>
      </w:pPr>
      <w:r>
        <w:rPr>
          <w:rFonts w:ascii="Arial" w:hAnsi="Arial"/>
          <w:b/>
          <w:color w:val="000000"/>
          <w:sz w:val="20"/>
        </w:rPr>
        <w:t>Goodwill and Intangible Asset</w:t>
      </w:r>
    </w:p>
    <w:p>
      <w:pPr>
        <w:pStyle w:val="Heading2"/>
        <w:bidi w:val="0"/>
        <w:spacing w:before="240" w:after="283"/>
        <w:jc w:val="left"/>
        <w:rPr>
          <w:rFonts w:ascii="Arial" w:hAnsi="Arial"/>
          <w:b w:val="false"/>
          <w:color w:val="000000"/>
          <w:sz w:val="20"/>
        </w:rPr>
      </w:pPr>
      <w:r>
        <w:rPr>
          <w:rFonts w:ascii="Arial" w:hAnsi="Arial"/>
          <w:b w:val="false"/>
          <w:color w:val="000000"/>
          <w:sz w:val="20"/>
        </w:rPr>
        <w:t>The Company’s goodwill and intangible asset relate to the purchase of Rahko Limited (“Rahko”) in 2021, which was accounted for as a business combination.</w:t>
      </w:r>
    </w:p>
    <w:p>
      <w:pPr>
        <w:pStyle w:val="Heading2"/>
        <w:bidi w:val="0"/>
        <w:spacing w:before="240" w:after="283"/>
        <w:jc w:val="both"/>
        <w:rPr>
          <w:rFonts w:ascii="Arial" w:hAnsi="Arial"/>
          <w:i/>
          <w:color w:val="000000"/>
          <w:sz w:val="20"/>
        </w:rPr>
      </w:pPr>
      <w:r>
        <w:rPr>
          <w:rFonts w:ascii="Arial" w:hAnsi="Arial"/>
          <w:i/>
          <w:color w:val="000000"/>
          <w:sz w:val="20"/>
        </w:rPr>
        <w:t>Goodwill</w:t>
      </w:r>
    </w:p>
    <w:p>
      <w:pPr>
        <w:pStyle w:val="TextBody"/>
        <w:bidi w:val="0"/>
        <w:spacing w:before="240" w:after="283"/>
        <w:jc w:val="left"/>
        <w:rPr>
          <w:rFonts w:ascii="Arial" w:hAnsi="Arial"/>
          <w:color w:val="000000"/>
          <w:sz w:val="20"/>
        </w:rPr>
      </w:pPr>
      <w:r>
        <w:rPr>
          <w:rFonts w:ascii="Arial" w:hAnsi="Arial"/>
          <w:color w:val="000000"/>
          <w:sz w:val="20"/>
        </w:rPr>
        <w:t>Goodwill and the effect of foreign currency translation is as follows:</w:t>
      </w:r>
    </w:p>
    <w:p>
      <w:pPr>
        <w:pStyle w:val="TextBody"/>
        <w:bidi w:val="0"/>
        <w:jc w:val="both"/>
        <w:rPr/>
      </w:pPr>
      <w:r>
        <w:rPr/>
        <w:t> </w:t>
      </w:r>
    </w:p>
    <w:tbl>
      <w:tblPr>
        <w:tblW w:w="7033" w:type="dxa"/>
        <w:jc w:val="left"/>
        <w:tblInd w:w="0" w:type="dxa"/>
        <w:tblLayout w:type="fixed"/>
        <w:tblCellMar>
          <w:top w:w="28" w:type="dxa"/>
          <w:left w:w="28" w:type="dxa"/>
          <w:bottom w:w="28" w:type="dxa"/>
          <w:right w:w="28" w:type="dxa"/>
        </w:tblCellMar>
      </w:tblPr>
      <w:tblGrid>
        <w:gridCol w:w="3541"/>
        <w:gridCol w:w="146"/>
        <w:gridCol w:w="733"/>
        <w:gridCol w:w="2402"/>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 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both"/>
        <w:rPr/>
      </w:pPr>
      <w:r>
        <w:rPr/>
        <w:t> </w:t>
      </w:r>
    </w:p>
    <w:p>
      <w:pPr>
        <w:pStyle w:val="Heading2"/>
        <w:bidi w:val="0"/>
        <w:spacing w:before="40" w:after="283"/>
        <w:jc w:val="both"/>
        <w:rPr>
          <w:rFonts w:ascii="Arial" w:hAnsi="Arial"/>
          <w:i/>
          <w:color w:val="000000"/>
          <w:sz w:val="20"/>
        </w:rPr>
      </w:pPr>
      <w:r>
        <w:rPr>
          <w:rFonts w:ascii="Arial" w:hAnsi="Arial"/>
          <w:i/>
          <w:color w:val="000000"/>
          <w:sz w:val="20"/>
        </w:rPr>
        <w:t>Intangible Asset</w:t>
      </w:r>
    </w:p>
    <w:p>
      <w:pPr>
        <w:pStyle w:val="TextBody"/>
        <w:bidi w:val="0"/>
        <w:spacing w:before="240" w:after="283"/>
        <w:jc w:val="left"/>
        <w:rPr>
          <w:rFonts w:ascii="Arial" w:hAnsi="Arial"/>
          <w:color w:val="000000"/>
          <w:sz w:val="20"/>
        </w:rPr>
      </w:pPr>
      <w:r>
        <w:rPr>
          <w:rFonts w:ascii="Arial" w:hAnsi="Arial"/>
          <w:color w:val="000000"/>
          <w:sz w:val="20"/>
        </w:rPr>
        <w:t>The Company’s intangible asset is comprised solely of developed technology and is being amortized using the straight-line method which reflects the pattern in which the economic benefits of the asset are consumed, over its estimated useful life of five years.</w:t>
      </w:r>
    </w:p>
    <w:p>
      <w:pPr>
        <w:pStyle w:val="TextBody"/>
        <w:bidi w:val="0"/>
        <w:spacing w:before="240" w:after="283"/>
        <w:jc w:val="left"/>
        <w:rPr>
          <w:rFonts w:ascii="Arial" w:hAnsi="Arial"/>
          <w:color w:val="000000"/>
          <w:sz w:val="20"/>
        </w:rPr>
      </w:pPr>
      <w:r>
        <w:rPr>
          <w:rFonts w:ascii="Arial" w:hAnsi="Arial"/>
          <w:color w:val="000000"/>
          <w:sz w:val="20"/>
        </w:rPr>
        <w:t>The following tables present the intangible asset, current and future amortization, and the effect of foreign currency translation:</w:t>
      </w:r>
    </w:p>
    <w:p>
      <w:pPr>
        <w:pStyle w:val="TextBody"/>
        <w:bidi w:val="0"/>
        <w:jc w:val="both"/>
        <w:rPr/>
      </w:pPr>
      <w:r>
        <w:rPr/>
        <w:t> </w:t>
      </w:r>
    </w:p>
    <w:tbl>
      <w:tblPr>
        <w:tblW w:w="7678" w:type="dxa"/>
        <w:jc w:val="left"/>
        <w:tblInd w:w="0" w:type="dxa"/>
        <w:tblLayout w:type="fixed"/>
        <w:tblCellMar>
          <w:top w:w="28" w:type="dxa"/>
          <w:left w:w="28" w:type="dxa"/>
          <w:bottom w:w="28" w:type="dxa"/>
          <w:right w:w="28" w:type="dxa"/>
        </w:tblCellMar>
      </w:tblPr>
      <w:tblGrid>
        <w:gridCol w:w="4186"/>
        <w:gridCol w:w="146"/>
        <w:gridCol w:w="772"/>
        <w:gridCol w:w="2363"/>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 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Future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Arial" w:hAnsi="Arial"/>
          <w:b/>
          <w:color w:val="000000"/>
          <w:sz w:val="20"/>
        </w:rPr>
      </w:pPr>
      <w:r>
        <w:rPr>
          <w:rFonts w:ascii="Arial" w:hAnsi="Arial"/>
          <w:b/>
          <w:color w:val="000000"/>
          <w:sz w:val="20"/>
        </w:rPr>
        <w:t>4.</w:t>
      </w:r>
    </w:p>
    <w:p>
      <w:pPr>
        <w:pStyle w:val="TextBody"/>
        <w:bidi w:val="0"/>
        <w:jc w:val="left"/>
        <w:rPr>
          <w:rFonts w:ascii="Arial" w:hAnsi="Arial"/>
          <w:b/>
          <w:color w:val="000000"/>
          <w:sz w:val="20"/>
        </w:rPr>
      </w:pPr>
      <w:r>
        <w:rPr>
          <w:rFonts w:ascii="Arial" w:hAnsi="Arial"/>
          <w:b/>
          <w:color w:val="000000"/>
          <w:sz w:val="20"/>
        </w:rPr>
        <w:t>Collaboration and License Agreements</w:t>
      </w:r>
    </w:p>
    <w:p>
      <w:pPr>
        <w:pStyle w:val="TextBody"/>
        <w:bidi w:val="0"/>
        <w:spacing w:before="240" w:after="283"/>
        <w:jc w:val="left"/>
        <w:rPr>
          <w:rFonts w:ascii="Arial" w:hAnsi="Arial"/>
          <w:i/>
          <w:color w:val="000000"/>
          <w:sz w:val="20"/>
        </w:rPr>
      </w:pPr>
      <w:r>
        <w:rPr>
          <w:rFonts w:ascii="Arial" w:hAnsi="Arial"/>
          <w:i/>
          <w:color w:val="000000"/>
          <w:sz w:val="20"/>
        </w:rPr>
        <w:t>Pfizer MTA</w:t>
      </w:r>
    </w:p>
    <w:p>
      <w:pPr>
        <w:pStyle w:val="TextBody"/>
        <w:bidi w:val="0"/>
        <w:spacing w:before="240" w:after="283"/>
        <w:jc w:val="left"/>
        <w:rPr>
          <w:rFonts w:ascii="Times New Roman" w:hAnsi="Times New Roman"/>
          <w:sz w:val="20"/>
        </w:rPr>
      </w:pPr>
      <w:r>
        <w:rPr>
          <w:rFonts w:ascii="Arial" w:hAnsi="Arial"/>
          <w:color w:val="000000"/>
          <w:sz w:val="20"/>
        </w:rPr>
        <w:t>In December 2022, the Company entered into a material transfer and evaluation agreement (the “Pfizer MTA”) with Pfizer, Inc. (“Pfizer”) in which the Company granted to Pfizer a nonexclusive license to access the Company’s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intellectual property. Under the Pfizer MTA, the Company and Pfizer will jointly conduct research to identify novel hits using the Company’s natural product platform to initiate a preclinical drug discovery program against an oncogenic transcription factor.</w:t>
      </w:r>
    </w:p>
    <w:p>
      <w:pPr>
        <w:pStyle w:val="TextBody"/>
        <w:bidi w:val="0"/>
        <w:spacing w:before="240" w:after="283"/>
        <w:jc w:val="left"/>
        <w:rPr>
          <w:rFonts w:ascii="Arial" w:hAnsi="Arial"/>
          <w:color w:val="000000"/>
          <w:sz w:val="20"/>
        </w:rPr>
      </w:pPr>
      <w:r>
        <w:rPr>
          <w:rFonts w:ascii="Arial" w:hAnsi="Arial"/>
          <w:color w:val="000000"/>
          <w:sz w:val="20"/>
        </w:rPr>
        <w:t>The Company determined that the Pfizer MTA represents a contract with a customer and consists of one combined performance obligation for the nonexclusive license and the promise to provide research and development services (“R&amp;D services”) to Pfizer, as the license and promise are not capable of being distinct in the context of the contract. The Pfizer MTA provides that the term of the agreement would end following an initial period of two and one-half years or upon completion of the research, if completed or terminated earlier. In addition, the Pfizer MTA contains two options that require the Company to provide further R&amp;D services to Pfizer (the “First Pfizer Option” and “Second Pfizer Option”, collectively the “Pfizer Options”). The Company evaluated the options to continue the R&amp;D services and concluded that these options did not represent material rights, as they were deemed to be for additional R&amp;D services that are at their standalone selling price.</w:t>
      </w:r>
    </w:p>
    <w:p>
      <w:pPr>
        <w:pStyle w:val="TextBody"/>
        <w:bidi w:val="0"/>
        <w:spacing w:before="240" w:after="283"/>
        <w:jc w:val="left"/>
        <w:rPr>
          <w:rFonts w:ascii="Times New Roman" w:hAnsi="Times New Roman"/>
          <w:sz w:val="20"/>
        </w:rPr>
      </w:pPr>
      <w:r>
        <w:rPr>
          <w:rFonts w:ascii="Arial" w:hAnsi="Arial"/>
          <w:color w:val="000000"/>
          <w:sz w:val="20"/>
        </w:rPr>
        <w:t>In 2023, Pfizer paid the Company a nonrefundable upfront payment of $1.0</w:t>
      </w:r>
      <w:r>
        <w:rPr>
          <w:rFonts w:ascii="Times New Roman" w:hAnsi="Times New Roman"/>
          <w:color w:val="000000"/>
          <w:sz w:val="20"/>
        </w:rPr>
        <w:t xml:space="preserve"> </w:t>
      </w:r>
      <w:r>
        <w:rPr>
          <w:rFonts w:ascii="Arial" w:hAnsi="Arial"/>
          <w:color w:val="000000"/>
          <w:sz w:val="20"/>
        </w:rPr>
        <w:t>million in exchange for the nonexclusive license as well as R&amp;D services performed by the Company over the initial period and the First Pfizer Option was exercised. In December 2024, the Second Pfizer Option was exercised. The total transaction price under the Pfizer MTA was determined to be $1.9</w:t>
      </w:r>
      <w:r>
        <w:rPr>
          <w:rFonts w:ascii="Times New Roman" w:hAnsi="Times New Roman"/>
          <w:color w:val="000000"/>
          <w:sz w:val="20"/>
        </w:rPr>
        <w:t xml:space="preserve"> </w:t>
      </w:r>
      <w:r>
        <w:rPr>
          <w:rFonts w:ascii="Arial" w:hAnsi="Arial"/>
          <w:color w:val="000000"/>
          <w:sz w:val="20"/>
        </w:rPr>
        <w:t>million after the exercises of the options. Revenue from the Pfizer MTA was recognized over the estimated performance of the R&amp;D services using the time-elapsed input method. The Company recognized $0.4</w:t>
      </w:r>
      <w:r>
        <w:rPr>
          <w:rFonts w:ascii="Times New Roman" w:hAnsi="Times New Roman"/>
          <w:color w:val="000000"/>
          <w:sz w:val="20"/>
        </w:rPr>
        <w:t xml:space="preserve"> </w:t>
      </w:r>
      <w:r>
        <w:rPr>
          <w:rFonts w:ascii="Arial" w:hAnsi="Arial"/>
          <w:color w:val="000000"/>
          <w:sz w:val="20"/>
        </w:rPr>
        <w:t>million of revenue associated with the Pfizer MTA during the six months ended June 30, 2025, which is included in collaboration revenue on the condensed consolidated statements of operations and comprehensive loss. The Company did not recognize any revenue associated with the Pfizer MTA during the three months ended June 30, 2025. The Company fulfilled all of its obligations under the Pfizer MTA during the year ended December 31, 2025</w:t>
      </w:r>
      <w:r>
        <w:rPr>
          <w:rFonts w:ascii="Times New Roman" w:hAnsi="Times New Roman"/>
          <w:color w:val="000000"/>
          <w:sz w:val="20"/>
        </w:rPr>
        <w:t xml:space="preserve"> </w:t>
      </w:r>
      <w:r>
        <w:rPr>
          <w:rFonts w:ascii="Arial" w:hAnsi="Arial"/>
          <w:color w:val="000000"/>
          <w:sz w:val="20"/>
        </w:rPr>
        <w:t>and, as such, no</w:t>
      </w:r>
      <w:r>
        <w:rPr>
          <w:rFonts w:ascii="Times New Roman" w:hAnsi="Times New Roman"/>
          <w:color w:val="000000"/>
          <w:sz w:val="20"/>
        </w:rPr>
        <w:t xml:space="preserve"> </w:t>
      </w:r>
      <w:r>
        <w:rPr>
          <w:rFonts w:ascii="Arial" w:hAnsi="Arial"/>
          <w:color w:val="000000"/>
          <w:sz w:val="20"/>
        </w:rPr>
        <w:t>revenue has been recorded during the three and six months ended June 30, 2026.</w:t>
      </w:r>
    </w:p>
    <w:p>
      <w:pPr>
        <w:pStyle w:val="TextBody"/>
        <w:bidi w:val="0"/>
        <w:spacing w:before="240" w:after="283"/>
        <w:jc w:val="left"/>
        <w:rPr>
          <w:rFonts w:ascii="Arial" w:hAnsi="Arial"/>
          <w:i/>
          <w:color w:val="000000"/>
          <w:sz w:val="20"/>
        </w:rPr>
      </w:pPr>
      <w:r>
        <w:rPr>
          <w:rFonts w:ascii="Arial" w:hAnsi="Arial"/>
          <w:i/>
          <w:color w:val="000000"/>
          <w:sz w:val="20"/>
        </w:rPr>
        <w:t>Strategic Collaboration, Option, and License Agreement</w:t>
      </w:r>
    </w:p>
    <w:p>
      <w:pPr>
        <w:pStyle w:val="TextBody"/>
        <w:bidi w:val="0"/>
        <w:spacing w:before="240" w:after="283"/>
        <w:jc w:val="left"/>
        <w:rPr>
          <w:rFonts w:ascii="Times New Roman" w:hAnsi="Times New Roman"/>
          <w:sz w:val="20"/>
        </w:rPr>
      </w:pPr>
      <w:r>
        <w:rPr>
          <w:rFonts w:ascii="Arial" w:hAnsi="Arial"/>
          <w:color w:val="000000"/>
          <w:sz w:val="20"/>
        </w:rPr>
        <w:t>On March 29, 2024, the Company entered into a strategic collaboration, option and license agreement (the “J&amp;J Agreement”) with Janssen Pharmaceutica NV, a Johnson &amp; Johnson company (“J&amp;J”) to jointly discover and optimize small-molecule medicines against select therapeutic targets using the Company’s artificial intelligence and machine learning capability.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Each party granted to the other party a non-exclusive, royalty-free, worldwide license (the “Research License”) to certain intellectual property in connection with the other party’s research activities under the J&amp;J Agreement (the “Initial R&amp;D Services”). The Company also granted J&amp;J an option to obtain an exclusive commercial license with respect to each program within a specified time period. On a program-by-program basis, if J&amp;J elects to exercise such option or if J&amp;J initiates certain research activities for a program (without exercising such option), the Company would be entitled to a payment in the mid-single digit millions of dollars. J&amp;J may elect up to four replacement targets prior to the earlier of the end of the research term or exercise of the option to obtain a commercial license.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J&amp;J paid the Company a nonrefundable upfront payment of $6.5</w:t>
      </w:r>
      <w:r>
        <w:rPr>
          <w:rFonts w:ascii="Times New Roman" w:hAnsi="Times New Roman"/>
          <w:color w:val="000000"/>
          <w:sz w:val="20"/>
        </w:rPr>
        <w:t xml:space="preserve"> </w:t>
      </w:r>
      <w:r>
        <w:rPr>
          <w:rFonts w:ascii="Arial" w:hAnsi="Arial"/>
          <w:color w:val="000000"/>
          <w:sz w:val="20"/>
        </w:rPr>
        <w:t>million in connection with the entry into the J&amp;J Agreement and the Company is also eligible to receive reimbursement for additional R&amp;D services conducted incremental to the initial R&amp;D services. The Company will be eligible to receive, subject to the achievement of certain research, development, commercialization approval and sales milestones and the option exercise described below, additional milestone payments in an aggregate amount of approximately $839.0</w:t>
      </w:r>
      <w:r>
        <w:rPr>
          <w:rFonts w:ascii="Times New Roman" w:hAnsi="Times New Roman"/>
          <w:color w:val="000000"/>
          <w:sz w:val="20"/>
        </w:rPr>
        <w:t xml:space="preserve"> </w:t>
      </w:r>
      <w:r>
        <w:rPr>
          <w:rFonts w:ascii="Arial" w:hAnsi="Arial"/>
          <w:color w:val="000000"/>
          <w:sz w:val="20"/>
        </w:rPr>
        <w:t>million from J&amp;J. The Company will also be eligible to receive low to mid-single digit percentage tiered royalties based on the aggregate net sales of certain products, if approved, that arise from the J&amp;J Agreement (subject to certain deductions). The applicable royalties will be payable to the Company in a given country commencing on the date of first commercial sale of a royalty product in such country and ending upon the latest of (i) the date of expiration of the last-to-expire valid claim included in certain intellectual property, (ii) a designated period of time following the first commercial sale in such country and (iii) the date of expiration of all regulatory exclusivity for the applicable product in such country.</w:t>
      </w:r>
    </w:p>
    <w:p>
      <w:pPr>
        <w:pStyle w:val="TextBody"/>
        <w:bidi w:val="0"/>
        <w:spacing w:before="240" w:after="283"/>
        <w:jc w:val="left"/>
        <w:rPr>
          <w:rFonts w:ascii="Arial" w:hAnsi="Arial"/>
          <w:color w:val="000000"/>
          <w:sz w:val="20"/>
        </w:rPr>
      </w:pPr>
      <w:r>
        <w:rPr>
          <w:rFonts w:ascii="Arial" w:hAnsi="Arial"/>
          <w:color w:val="000000"/>
          <w:sz w:val="20"/>
        </w:rPr>
        <w:t>The Company determined that the J&amp;J Agreement represents a contract with a customer and consisted of two distinct and single performance obligations: (i) the grant of the research licenses, the transfer of the research materials, project governance through the JRC and the promise to provide certain research services, which were combined as a single performance obligation (the “First Performance Obligation”), and (ii) the grant of the research licenses, the transfer of research materials, project governance through the JRC and the promise to provide certain other research services, which are combined as a single performance obligation (the “Second Performance Obligation”).</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Revenue from the J&amp;J Agreement was recognized over the estimated performance of the initial research and development services using the cost incurred input method, which the Company believes best depicts the transfer of control to J&amp;J. The Company recognized $1.0</w:t>
      </w:r>
      <w:r>
        <w:rPr>
          <w:rFonts w:ascii="Times New Roman" w:hAnsi="Times New Roman"/>
          <w:color w:val="000000"/>
          <w:sz w:val="20"/>
        </w:rPr>
        <w:t xml:space="preserve"> </w:t>
      </w:r>
      <w:r>
        <w:rPr>
          <w:rFonts w:ascii="Arial" w:hAnsi="Arial"/>
          <w:color w:val="000000"/>
          <w:sz w:val="20"/>
        </w:rPr>
        <w:t>million and $2.5</w:t>
      </w:r>
      <w:r>
        <w:rPr>
          <w:rFonts w:ascii="Times New Roman" w:hAnsi="Times New Roman"/>
          <w:color w:val="000000"/>
          <w:sz w:val="20"/>
        </w:rPr>
        <w:t xml:space="preserve"> </w:t>
      </w:r>
      <w:r>
        <w:rPr>
          <w:rFonts w:ascii="Arial" w:hAnsi="Arial"/>
          <w:color w:val="000000"/>
          <w:sz w:val="20"/>
        </w:rPr>
        <w:t>million of revenue associated with the J&amp;J Agreement during the three and six months ended June 30, 2025, respectively, which is recorded as collaboration revenue on the condensed consolidated statements of operations and comprehensive loss. The Company fulfilled all of its obligations under the J&amp;J Agreement during the year ended December 31, 2025</w:t>
      </w:r>
      <w:r>
        <w:rPr>
          <w:rFonts w:ascii="Times New Roman" w:hAnsi="Times New Roman"/>
          <w:color w:val="000000"/>
          <w:sz w:val="20"/>
        </w:rPr>
        <w:t xml:space="preserve"> </w:t>
      </w:r>
      <w:r>
        <w:rPr>
          <w:rFonts w:ascii="Arial" w:hAnsi="Arial"/>
          <w:color w:val="000000"/>
          <w:sz w:val="20"/>
        </w:rPr>
        <w:t>and, as such, no</w:t>
      </w:r>
      <w:r>
        <w:rPr>
          <w:rFonts w:ascii="Times New Roman" w:hAnsi="Times New Roman"/>
          <w:color w:val="000000"/>
          <w:sz w:val="20"/>
        </w:rPr>
        <w:t xml:space="preserve"> </w:t>
      </w:r>
      <w:r>
        <w:rPr>
          <w:rFonts w:ascii="Arial" w:hAnsi="Arial"/>
          <w:color w:val="000000"/>
          <w:sz w:val="20"/>
        </w:rPr>
        <w:t>revenue has been recorded during the three and six months ended June 30, 2026.</w:t>
      </w:r>
    </w:p>
    <w:p>
      <w:pPr>
        <w:pStyle w:val="TextBody"/>
        <w:bidi w:val="0"/>
        <w:spacing w:before="240" w:after="283"/>
        <w:jc w:val="left"/>
        <w:rPr>
          <w:rFonts w:ascii="Arial" w:hAnsi="Arial"/>
          <w:color w:val="000000"/>
          <w:sz w:val="20"/>
        </w:rPr>
      </w:pPr>
      <w:r>
        <w:rPr>
          <w:rFonts w:ascii="Arial" w:hAnsi="Arial"/>
          <w:color w:val="000000"/>
          <w:sz w:val="20"/>
        </w:rPr>
        <w:t>To date there have been no development, commercial, and sales-based milestone payments or royalties based on sales achieved under the J&amp;J Agreement.</w:t>
      </w:r>
    </w:p>
    <w:p>
      <w:pPr>
        <w:pStyle w:val="TextBody"/>
        <w:bidi w:val="0"/>
        <w:spacing w:before="240" w:after="283"/>
        <w:jc w:val="left"/>
        <w:rPr>
          <w:rFonts w:ascii="Arial" w:hAnsi="Arial"/>
          <w:i/>
          <w:color w:val="000000"/>
          <w:sz w:val="20"/>
        </w:rPr>
      </w:pPr>
      <w:r>
        <w:rPr>
          <w:rFonts w:ascii="Arial" w:hAnsi="Arial"/>
          <w:i/>
          <w:color w:val="000000"/>
          <w:sz w:val="20"/>
        </w:rPr>
        <w:t>Deferred Revenue and Accounts Receivable</w:t>
      </w:r>
    </w:p>
    <w:p>
      <w:pPr>
        <w:pStyle w:val="TextBody"/>
        <w:bidi w:val="0"/>
        <w:spacing w:before="240" w:after="283"/>
        <w:jc w:val="left"/>
        <w:rPr>
          <w:rFonts w:ascii="Times New Roman" w:hAnsi="Times New Roman"/>
          <w:sz w:val="20"/>
        </w:rPr>
      </w:pPr>
      <w:r>
        <w:rPr>
          <w:rFonts w:ascii="Arial" w:hAnsi="Arial"/>
          <w:color w:val="000000"/>
          <w:sz w:val="20"/>
        </w:rPr>
        <w:t>Deferred revenue associated with collaboration and license agreements is recorded within accrued expenses and other current liabilities on the condensed consolidated balance sheets. The following table summarizes the changes in deferred revenue for the six months ended June 30, 2025.</w:t>
      </w:r>
      <w:r>
        <w:rPr>
          <w:rFonts w:ascii="Times New Roman" w:hAnsi="Times New Roman"/>
          <w:color w:val="000000"/>
          <w:sz w:val="20"/>
        </w:rPr>
        <w:t xml:space="preserve"> </w:t>
      </w:r>
      <w:r>
        <w:rPr>
          <w:rFonts w:ascii="Arial" w:hAnsi="Arial"/>
          <w:color w:val="000000"/>
          <w:sz w:val="20"/>
        </w:rPr>
        <w:t>There was no</w:t>
      </w:r>
      <w:r>
        <w:rPr>
          <w:rFonts w:ascii="Times New Roman" w:hAnsi="Times New Roman"/>
          <w:color w:val="000000"/>
          <w:sz w:val="20"/>
        </w:rPr>
        <w:t xml:space="preserve"> </w:t>
      </w:r>
      <w:r>
        <w:rPr>
          <w:rFonts w:ascii="Arial" w:hAnsi="Arial"/>
          <w:color w:val="000000"/>
          <w:sz w:val="20"/>
        </w:rPr>
        <w:t>deferred revenue recorded as of December 31, 2025 and June 30, 2026:</w:t>
      </w:r>
    </w:p>
    <w:p>
      <w:pPr>
        <w:pStyle w:val="TextBody"/>
        <w:bidi w:val="0"/>
        <w:jc w:val="both"/>
        <w:rPr/>
      </w:pPr>
      <w:r>
        <w:rPr/>
        <w:t> </w:t>
      </w:r>
    </w:p>
    <w:tbl>
      <w:tblPr>
        <w:tblW w:w="5833" w:type="dxa"/>
        <w:jc w:val="left"/>
        <w:tblInd w:w="0" w:type="dxa"/>
        <w:tblLayout w:type="fixed"/>
        <w:tblCellMar>
          <w:top w:w="28" w:type="dxa"/>
          <w:left w:w="28" w:type="dxa"/>
          <w:bottom w:w="28" w:type="dxa"/>
          <w:right w:w="28" w:type="dxa"/>
        </w:tblCellMar>
      </w:tblPr>
      <w:tblGrid>
        <w:gridCol w:w="3661"/>
        <w:gridCol w:w="146"/>
        <w:gridCol w:w="447"/>
        <w:gridCol w:w="1368"/>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sz w:val="20"/>
        </w:rPr>
      </w:pPr>
      <w:r>
        <w:rPr>
          <w:rFonts w:ascii="Arial" w:hAnsi="Arial"/>
          <w:color w:val="000000"/>
          <w:sz w:val="20"/>
        </w:rPr>
        <w:t>The following table summarizes the change in accounts receivable for the six months ended June 30, 2025.</w:t>
      </w:r>
      <w:r>
        <w:rPr>
          <w:rFonts w:ascii="Times New Roman" w:hAnsi="Times New Roman"/>
          <w:color w:val="000000"/>
          <w:sz w:val="20"/>
        </w:rPr>
        <w:t xml:space="preserve"> </w:t>
      </w:r>
      <w:r>
        <w:rPr>
          <w:rFonts w:ascii="Arial" w:hAnsi="Arial"/>
          <w:color w:val="000000"/>
          <w:sz w:val="20"/>
        </w:rPr>
        <w:t>There was no</w:t>
      </w:r>
      <w:r>
        <w:rPr>
          <w:rFonts w:ascii="Times New Roman" w:hAnsi="Times New Roman"/>
          <w:color w:val="000000"/>
          <w:sz w:val="20"/>
        </w:rPr>
        <w:t xml:space="preserve"> </w:t>
      </w:r>
      <w:r>
        <w:rPr>
          <w:rFonts w:ascii="Arial" w:hAnsi="Arial"/>
          <w:color w:val="000000"/>
          <w:sz w:val="20"/>
        </w:rPr>
        <w:t>accounts receivable recorded as of December 31, 2025 and June 30, 2026:</w:t>
      </w:r>
    </w:p>
    <w:p>
      <w:pPr>
        <w:pStyle w:val="TextBody"/>
        <w:bidi w:val="0"/>
        <w:spacing w:before="0" w:after="240"/>
        <w:jc w:val="left"/>
        <w:rPr/>
      </w:pPr>
      <w:r>
        <w:rPr/>
        <w:t> </w:t>
      </w:r>
    </w:p>
    <w:p>
      <w:pPr>
        <w:pStyle w:val="TextBody"/>
        <w:bidi w:val="0"/>
        <w:jc w:val="both"/>
        <w:rPr/>
      </w:pPr>
      <w:r>
        <w:rPr/>
        <w:t> </w:t>
      </w:r>
    </w:p>
    <w:tbl>
      <w:tblPr>
        <w:tblW w:w="5833" w:type="dxa"/>
        <w:jc w:val="left"/>
        <w:tblInd w:w="0" w:type="dxa"/>
        <w:tblLayout w:type="fixed"/>
        <w:tblCellMar>
          <w:top w:w="28" w:type="dxa"/>
          <w:left w:w="28" w:type="dxa"/>
          <w:bottom w:w="28" w:type="dxa"/>
          <w:right w:w="28" w:type="dxa"/>
        </w:tblCellMar>
      </w:tblPr>
      <w:tblGrid>
        <w:gridCol w:w="3661"/>
        <w:gridCol w:w="146"/>
        <w:gridCol w:w="552"/>
        <w:gridCol w:w="1263"/>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Arial" w:hAnsi="Arial"/>
          <w:b/>
          <w:color w:val="000000"/>
          <w:sz w:val="20"/>
        </w:rPr>
      </w:pPr>
      <w:r>
        <w:rPr>
          <w:rFonts w:ascii="Arial" w:hAnsi="Arial"/>
          <w:b/>
          <w:color w:val="000000"/>
          <w:sz w:val="20"/>
        </w:rPr>
        <w:t>5.</w:t>
      </w:r>
    </w:p>
    <w:p>
      <w:pPr>
        <w:pStyle w:val="TextBody"/>
        <w:bidi w:val="0"/>
        <w:spacing w:before="240" w:after="283"/>
        <w:jc w:val="both"/>
        <w:rPr>
          <w:rFonts w:ascii="Arial" w:hAnsi="Arial"/>
          <w:b/>
          <w:color w:val="000000"/>
          <w:sz w:val="20"/>
        </w:rPr>
      </w:pPr>
      <w:r>
        <w:rPr>
          <w:rFonts w:ascii="Arial" w:hAnsi="Arial"/>
          <w:b/>
          <w:color w:val="000000"/>
          <w:sz w:val="20"/>
        </w:rPr>
        <w:t>Fair Value Measurements</w:t>
      </w:r>
    </w:p>
    <w:p>
      <w:pPr>
        <w:pStyle w:val="TextBody"/>
        <w:bidi w:val="0"/>
        <w:spacing w:before="240" w:after="283"/>
        <w:jc w:val="left"/>
        <w:rPr>
          <w:rFonts w:ascii="Arial" w:hAnsi="Arial"/>
          <w:color w:val="000000"/>
          <w:sz w:val="20"/>
        </w:rPr>
      </w:pPr>
      <w:r>
        <w:rPr>
          <w:rFonts w:ascii="Arial" w:hAnsi="Arial"/>
          <w:color w:val="000000"/>
          <w:sz w:val="20"/>
        </w:rPr>
        <w:t>The following table sets forth by level, within the fair value hierarchy, the Company's financial assets and liabilities carried at fair value on a recurring basis: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07"/>
        <w:gridCol w:w="146"/>
        <w:gridCol w:w="211"/>
        <w:gridCol w:w="796"/>
        <w:gridCol w:w="146"/>
        <w:gridCol w:w="146"/>
        <w:gridCol w:w="488"/>
        <w:gridCol w:w="1601"/>
        <w:gridCol w:w="146"/>
        <w:gridCol w:w="146"/>
        <w:gridCol w:w="394"/>
        <w:gridCol w:w="1496"/>
        <w:gridCol w:w="146"/>
        <w:gridCol w:w="146"/>
        <w:gridCol w:w="466"/>
        <w:gridCol w:w="1530"/>
        <w:gridCol w:w="194"/>
      </w:tblGrid>
      <w:tr>
        <w:trPr/>
        <w:tc>
          <w:tcPr>
            <w:tcW w:w="2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 unobservable inputs (Level 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U.S. Treasury bills and 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U.S. Treasury bills and 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75"/>
        <w:gridCol w:w="146"/>
        <w:gridCol w:w="211"/>
        <w:gridCol w:w="796"/>
        <w:gridCol w:w="146"/>
        <w:gridCol w:w="146"/>
        <w:gridCol w:w="305"/>
        <w:gridCol w:w="1000"/>
        <w:gridCol w:w="146"/>
        <w:gridCol w:w="146"/>
        <w:gridCol w:w="298"/>
        <w:gridCol w:w="1132"/>
        <w:gridCol w:w="146"/>
        <w:gridCol w:w="146"/>
        <w:gridCol w:w="679"/>
        <w:gridCol w:w="1893"/>
        <w:gridCol w:w="194"/>
      </w:tblGrid>
      <w:tr>
        <w:trPr/>
        <w:tc>
          <w:tcPr>
            <w:tcW w:w="2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Quoted prices in </w:t>
              <w:br/>
              <w:t>active 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 unobservable inputs (Level 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U.S. Treasury bills and 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changes in valuation techniques or transfers between Levels 1, 2 or 3 for the periods presented.</w:t>
      </w:r>
    </w:p>
    <w:p>
      <w:pPr>
        <w:pStyle w:val="TextBody"/>
        <w:bidi w:val="0"/>
        <w:spacing w:before="240" w:after="283"/>
        <w:jc w:val="left"/>
        <w:rPr>
          <w:rFonts w:ascii="Arial" w:hAnsi="Arial"/>
          <w:color w:val="000000"/>
          <w:sz w:val="20"/>
        </w:rPr>
      </w:pPr>
      <w:r>
        <w:rPr>
          <w:rFonts w:ascii="Arial" w:hAnsi="Arial"/>
          <w:color w:val="000000"/>
          <w:sz w:val="20"/>
        </w:rPr>
        <w:t>Marketable securities classified as Level 2 within the valuation hierarchy generally consist of U.S. Treasury bills and U.S. Treasury notes. The Company estimates the fair values of marketable securities by taking into consideration valuations obtained from third-party pricing sources.</w:t>
      </w:r>
    </w:p>
    <w:p>
      <w:pPr>
        <w:pStyle w:val="TextBody"/>
        <w:bidi w:val="0"/>
        <w:spacing w:before="240" w:after="240"/>
        <w:jc w:val="left"/>
        <w:rPr>
          <w:rFonts w:ascii="Arial" w:hAnsi="Arial"/>
          <w:color w:val="000000"/>
          <w:sz w:val="20"/>
        </w:rPr>
      </w:pPr>
      <w:r>
        <w:rPr>
          <w:rFonts w:ascii="Arial" w:hAnsi="Arial"/>
          <w:color w:val="000000"/>
          <w:sz w:val="20"/>
        </w:rPr>
        <w:t>The carrying values of accounts payable and accrued expenses and other current liabilities approximates their fair values due to the short-term nature of these instruments.</w:t>
      </w:r>
    </w:p>
    <w:p>
      <w:pPr>
        <w:pStyle w:val="Heading2"/>
        <w:bidi w:val="0"/>
        <w:jc w:val="left"/>
        <w:rPr>
          <w:rFonts w:ascii="Arial" w:hAnsi="Arial"/>
          <w:i/>
          <w:color w:val="000000"/>
          <w:sz w:val="20"/>
        </w:rPr>
      </w:pPr>
      <w:r>
        <w:rPr>
          <w:rFonts w:ascii="Arial" w:hAnsi="Arial"/>
          <w:i/>
          <w:color w:val="000000"/>
          <w:sz w:val="20"/>
        </w:rPr>
        <w:t>Valuation of Contingent Consideration</w:t>
      </w:r>
    </w:p>
    <w:p>
      <w:pPr>
        <w:pStyle w:val="TextBody"/>
        <w:bidi w:val="0"/>
        <w:spacing w:before="240" w:after="283"/>
        <w:jc w:val="left"/>
        <w:rPr>
          <w:rFonts w:ascii="Times New Roman" w:hAnsi="Times New Roman"/>
          <w:sz w:val="20"/>
        </w:rPr>
      </w:pPr>
      <w:r>
        <w:rPr>
          <w:rFonts w:ascii="Arial" w:hAnsi="Arial"/>
          <w:color w:val="000000"/>
          <w:sz w:val="20"/>
        </w:rPr>
        <w:t>The contingent consideration in the below tables relates to the estimated fair value of future payments that may be made by the Company to the members of IFM Discovery, LLC (“IFM”) and Rahko as described below. The fair value of the contingent consideration was determined based on significant inputs not observable in the market, which represent Level 3 measurements.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i/>
          <w:color w:val="000000"/>
          <w:sz w:val="20"/>
        </w:rPr>
      </w:pPr>
      <w:r>
        <w:rPr>
          <w:rFonts w:ascii="Arial" w:hAnsi="Arial"/>
          <w:i/>
          <w:color w:val="000000"/>
          <w:sz w:val="20"/>
        </w:rPr>
        <w:t>IFM</w:t>
      </w:r>
    </w:p>
    <w:p>
      <w:pPr>
        <w:pStyle w:val="TextBody"/>
        <w:bidi w:val="0"/>
        <w:spacing w:before="240" w:after="283"/>
        <w:jc w:val="left"/>
        <w:rPr>
          <w:rFonts w:ascii="Times New Roman" w:hAnsi="Times New Roman"/>
          <w:sz w:val="20"/>
        </w:rPr>
      </w:pPr>
      <w:r>
        <w:rPr>
          <w:rFonts w:ascii="Arial" w:hAnsi="Arial"/>
          <w:color w:val="000000"/>
          <w:sz w:val="20"/>
        </w:rPr>
        <w:t>In May 2022, the Company acquired all of the membership interests in IFM. The total purchase consideration was $3.1</w:t>
      </w:r>
      <w:r>
        <w:rPr>
          <w:rFonts w:ascii="Times New Roman" w:hAnsi="Times New Roman"/>
          <w:color w:val="000000"/>
          <w:sz w:val="20"/>
        </w:rPr>
        <w:t xml:space="preserve"> </w:t>
      </w:r>
      <w:r>
        <w:rPr>
          <w:rFonts w:ascii="Arial" w:hAnsi="Arial"/>
          <w:color w:val="000000"/>
          <w:sz w:val="20"/>
        </w:rPr>
        <w:t>million, which consisted of the following: (i) 81,240</w:t>
      </w:r>
      <w:r>
        <w:rPr>
          <w:rFonts w:ascii="Times New Roman" w:hAnsi="Times New Roman"/>
          <w:color w:val="000000"/>
          <w:sz w:val="20"/>
        </w:rPr>
        <w:t xml:space="preserve"> </w:t>
      </w:r>
      <w:r>
        <w:rPr>
          <w:rFonts w:ascii="Arial" w:hAnsi="Arial"/>
          <w:color w:val="000000"/>
          <w:sz w:val="20"/>
        </w:rPr>
        <w:t>shares of non-voting common stock at closing with the estimated fair value of $0.2</w:t>
      </w:r>
      <w:r>
        <w:rPr>
          <w:rFonts w:ascii="Times New Roman" w:hAnsi="Times New Roman"/>
          <w:color w:val="000000"/>
          <w:sz w:val="20"/>
        </w:rPr>
        <w:t xml:space="preserve"> </w:t>
      </w:r>
      <w:r>
        <w:rPr>
          <w:rFonts w:ascii="Arial" w:hAnsi="Arial"/>
          <w:color w:val="000000"/>
          <w:sz w:val="20"/>
        </w:rPr>
        <w:t>million, (ii) cash consideration of $0.9</w:t>
      </w:r>
      <w:r>
        <w:rPr>
          <w:rFonts w:ascii="Times New Roman" w:hAnsi="Times New Roman"/>
          <w:color w:val="000000"/>
          <w:sz w:val="20"/>
        </w:rPr>
        <w:t xml:space="preserve"> </w:t>
      </w:r>
      <w:r>
        <w:rPr>
          <w:rFonts w:ascii="Arial" w:hAnsi="Arial"/>
          <w:color w:val="000000"/>
          <w:sz w:val="20"/>
        </w:rPr>
        <w:t>million at closing, (iii) a deferred payment of $0.9</w:t>
      </w:r>
      <w:r>
        <w:rPr>
          <w:rFonts w:ascii="Times New Roman" w:hAnsi="Times New Roman"/>
          <w:color w:val="000000"/>
          <w:sz w:val="20"/>
        </w:rPr>
        <w:t xml:space="preserve"> </w:t>
      </w:r>
      <w:r>
        <w:rPr>
          <w:rFonts w:ascii="Arial" w:hAnsi="Arial"/>
          <w:color w:val="000000"/>
          <w:sz w:val="20"/>
        </w:rPr>
        <w:t>million, which was paid in June 2022, and (iv) contingent consideration in cash of up to $30.0 million, payable once for each of the NLR family pyrin domain containing 1 (“NLRP1”) and melanoma differentiation-associated protein 5 (“MDA5”) programs upon the first achievement of certain development, commercial, regulatory and sales milestones related to each such program.</w:t>
      </w:r>
      <w:r>
        <w:rPr>
          <w:rFonts w:ascii="Times New Roman" w:hAnsi="Times New Roman"/>
          <w:color w:val="000000"/>
          <w:sz w:val="20"/>
        </w:rPr>
        <w:t xml:space="preserve"> </w:t>
      </w:r>
      <w:r>
        <w:rPr>
          <w:rFonts w:ascii="Arial" w:hAnsi="Arial"/>
          <w:color w:val="000000"/>
          <w:sz w:val="20"/>
        </w:rPr>
        <w:t>The estimated fair value of the contingent consideration was determined to be $1.1</w:t>
      </w:r>
      <w:r>
        <w:rPr>
          <w:rFonts w:ascii="Times New Roman" w:hAnsi="Times New Roman"/>
          <w:color w:val="000000"/>
          <w:sz w:val="20"/>
        </w:rPr>
        <w:t xml:space="preserve"> </w:t>
      </w:r>
      <w:r>
        <w:rPr>
          <w:rFonts w:ascii="Arial" w:hAnsi="Arial"/>
          <w:color w:val="000000"/>
          <w:sz w:val="20"/>
        </w:rPr>
        <w:t>million on the acquisition date. The contingent consideration is remeasured at each balance sheet date.</w:t>
      </w:r>
    </w:p>
    <w:p>
      <w:pPr>
        <w:pStyle w:val="TextBody"/>
        <w:bidi w:val="0"/>
        <w:spacing w:before="240" w:after="283"/>
        <w:jc w:val="left"/>
        <w:rPr>
          <w:rFonts w:ascii="Times New Roman" w:hAnsi="Times New Roman"/>
          <w:sz w:val="20"/>
        </w:rPr>
      </w:pPr>
      <w:r>
        <w:rPr>
          <w:rFonts w:ascii="Arial" w:hAnsi="Arial"/>
          <w:color w:val="000000"/>
          <w:sz w:val="20"/>
        </w:rPr>
        <w:t>The fair value of the contingent consideration related to development, commercial, regulatory and sales milestones was based on the discounted cash flow valuation technique. The technique considered the following assumptions: (i) the probability and timing of achieving the specified milestones as of the valuation date and (ii) the market-based discount rates, with the most significant assumptions being the timing of the projected milestones and the probability of the milestones being achieved. The fair value of the contingent consideration could change in future periods depending on the prospects for the Company’s MDA5 and NLRP1 drug discovery programs acquired as part of the IFM transaction achieving development, commercial, regulatory and sales milestones. The estimated fair value of the contingent consideration as of June 30, 2026 and December 31, 2025 related to the IFM acquisition was $1.0</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left"/>
        <w:rPr>
          <w:rFonts w:ascii="Arial" w:hAnsi="Arial"/>
          <w:color w:val="000000"/>
          <w:sz w:val="20"/>
        </w:rPr>
      </w:pPr>
      <w:r>
        <w:rPr>
          <w:rFonts w:ascii="Arial" w:hAnsi="Arial"/>
          <w:color w:val="000000"/>
          <w:sz w:val="20"/>
        </w:rPr>
        <w:t>The following table sets forth the significant inputs to the discounted cash flow technique used to value contingent consideration for IFM as of June 30, 2026 and December 31, 2025:</w:t>
      </w:r>
    </w:p>
    <w:p>
      <w:pPr>
        <w:pStyle w:val="TextBody"/>
        <w:bidi w:val="0"/>
        <w:jc w:val="both"/>
        <w:rPr/>
      </w:pPr>
      <w:r>
        <w:rPr/>
        <w:t> </w:t>
      </w:r>
    </w:p>
    <w:tbl>
      <w:tblPr>
        <w:tblW w:w="9430" w:type="dxa"/>
        <w:jc w:val="left"/>
        <w:tblInd w:w="0" w:type="dxa"/>
        <w:tblLayout w:type="fixed"/>
        <w:tblCellMar>
          <w:top w:w="28" w:type="dxa"/>
          <w:left w:w="28" w:type="dxa"/>
          <w:bottom w:w="28" w:type="dxa"/>
          <w:right w:w="28" w:type="dxa"/>
        </w:tblCellMar>
      </w:tblPr>
      <w:tblGrid>
        <w:gridCol w:w="4891"/>
        <w:gridCol w:w="146"/>
        <w:gridCol w:w="416"/>
        <w:gridCol w:w="1369"/>
        <w:gridCol w:w="286"/>
        <w:gridCol w:w="146"/>
        <w:gridCol w:w="429"/>
        <w:gridCol w:w="1416"/>
        <w:gridCol w:w="33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Significant 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Projected milestone timing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3.00</w:t>
            </w:r>
            <w:r>
              <w:rPr>
                <w:rFonts w:ascii="Times New Roman" w:hAnsi="Times New Roman"/>
                <w:color w:val="000000"/>
                <w:sz w:val="20"/>
              </w:rPr>
              <w:t> </w:t>
            </w:r>
            <w:r>
              <w:rPr>
                <w:rFonts w:ascii="Arial" w:hAnsi="Arial"/>
                <w:color w:val="000000"/>
                <w:sz w:val="20"/>
              </w:rPr>
              <w:t>to 11.26</w:t>
            </w:r>
            <w:r>
              <w:rPr>
                <w:rFonts w:ascii="Times New Roman" w:hAnsi="Times New Roman"/>
                <w:color w:val="000000"/>
                <w:sz w:val="20"/>
              </w:rPr>
              <w:t> </w:t>
            </w:r>
            <w:r>
              <w:rPr>
                <w:rFonts w:ascii="Arial" w:hAnsi="Arial"/>
                <w:color w:val="000000"/>
                <w:sz w:val="20"/>
              </w:rPr>
              <w:t>Years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2.25</w:t>
            </w:r>
            <w:r>
              <w:rPr>
                <w:rFonts w:ascii="Times New Roman" w:hAnsi="Times New Roman"/>
                <w:color w:val="000000"/>
                <w:sz w:val="20"/>
              </w:rPr>
              <w:t> </w:t>
            </w:r>
            <w:r>
              <w:rPr>
                <w:rFonts w:ascii="Arial" w:hAnsi="Arial"/>
                <w:color w:val="000000"/>
                <w:sz w:val="20"/>
              </w:rPr>
              <w:t>to 11.75</w:t>
            </w:r>
            <w:r>
              <w:rPr>
                <w:rFonts w:ascii="Times New Roman" w:hAnsi="Times New Roman"/>
                <w:color w:val="000000"/>
                <w:sz w:val="20"/>
              </w:rPr>
              <w:t> </w:t>
            </w:r>
            <w:r>
              <w:rPr>
                <w:rFonts w:ascii="Arial" w:hAnsi="Arial"/>
                <w:color w:val="000000"/>
                <w:sz w:val="20"/>
              </w:rPr>
              <w:t>Years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Probability of milestone achievement - NLRP1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- 35.0%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- 35.0%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Probability of milestone achievement - MDA5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- 35.0%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- 35.0%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Significant increases or decreases in these inputs could result in a significantly lower or higher fair value measurement of the contingent consideration liability.</w:t>
      </w:r>
    </w:p>
    <w:p>
      <w:pPr>
        <w:pStyle w:val="TextBody"/>
        <w:bidi w:val="0"/>
        <w:spacing w:before="240" w:after="283"/>
        <w:jc w:val="left"/>
        <w:rPr>
          <w:rFonts w:ascii="Arial" w:hAnsi="Arial"/>
          <w:i/>
          <w:color w:val="000000"/>
          <w:sz w:val="20"/>
        </w:rPr>
      </w:pPr>
      <w:r>
        <w:rPr>
          <w:rFonts w:ascii="Arial" w:hAnsi="Arial"/>
          <w:i/>
          <w:color w:val="000000"/>
          <w:sz w:val="20"/>
        </w:rPr>
        <w:t>Rahko</w:t>
      </w:r>
    </w:p>
    <w:p>
      <w:pPr>
        <w:pStyle w:val="TextBody"/>
        <w:bidi w:val="0"/>
        <w:spacing w:before="240" w:after="283"/>
        <w:jc w:val="left"/>
        <w:rPr>
          <w:rFonts w:ascii="Times New Roman" w:hAnsi="Times New Roman"/>
          <w:sz w:val="20"/>
        </w:rPr>
      </w:pPr>
      <w:r>
        <w:rPr>
          <w:rFonts w:ascii="Arial" w:hAnsi="Arial"/>
          <w:color w:val="000000"/>
          <w:sz w:val="20"/>
        </w:rPr>
        <w:t>The Rahko acquisition included additional consideration payable of up to $30.0</w:t>
      </w:r>
      <w:r>
        <w:rPr>
          <w:rFonts w:ascii="Times New Roman" w:hAnsi="Times New Roman"/>
          <w:color w:val="000000"/>
          <w:sz w:val="20"/>
        </w:rPr>
        <w:t xml:space="preserve"> </w:t>
      </w:r>
      <w:r>
        <w:rPr>
          <w:rFonts w:ascii="Arial" w:hAnsi="Arial"/>
          <w:color w:val="000000"/>
          <w:sz w:val="20"/>
        </w:rPr>
        <w:t>million to the previous shareholders of Rahko upon the achievement of certain qualifying events, including (a) following the Company’s completion of an IPO or public listing of the Company’s shares on certain designated exchanges, upon the first occurrence of the total market capitalization of the Company being equal to or in excess of $1.5</w:t>
      </w:r>
      <w:r>
        <w:rPr>
          <w:rFonts w:ascii="Times New Roman" w:hAnsi="Times New Roman"/>
          <w:color w:val="000000"/>
          <w:sz w:val="20"/>
        </w:rPr>
        <w:t xml:space="preserve"> </w:t>
      </w:r>
      <w:r>
        <w:rPr>
          <w:rFonts w:ascii="Arial" w:hAnsi="Arial"/>
          <w:color w:val="000000"/>
          <w:sz w:val="20"/>
        </w:rPr>
        <w:t>billion, or (b) an exit event such as (i) a transaction or transactions by which more than 50% of the combined voting power of then outstanding voting securities of the Company are acquired, (ii) consolidation or merger of the Company into another entity, or (iii) sale or disposition of substantially all of the assets of the Company, in each case for which the potential proceeds are equal to or in excess of $1.5</w:t>
      </w:r>
      <w:r>
        <w:rPr>
          <w:rFonts w:ascii="Times New Roman" w:hAnsi="Times New Roman"/>
          <w:color w:val="000000"/>
          <w:sz w:val="20"/>
        </w:rPr>
        <w:t xml:space="preserve"> </w:t>
      </w:r>
      <w:r>
        <w:rPr>
          <w:rFonts w:ascii="Arial" w:hAnsi="Arial"/>
          <w:color w:val="000000"/>
          <w:sz w:val="20"/>
        </w:rPr>
        <w:t>billion. The fair value of the contingent consideration was determined based on a Monte-Carlo simulation model that utilizes a geometric Brownian motion to estimate the equity value of the Company at expected qualifying event dates. The Company applied risk-free rate, volatility and discount rate assumptions to simulate the expected equity value of the Company as of the expected qualifying event dates. The risk-free rate was based upon the interest rates corresponding to the time period for U.S. Treasury notes published by the U.S. Federal Reserve. The volatility was estimated based on equity volatility indications from the guideline public companies and the capital structure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contingent consideration as of the date when the Company has met the certain market capitalization threshold following a certain qualifying event was discounted to the measurement date using a discount rate that is based on all-in market yields for publicly traded debt securities of comparable credit quality to the contingent consideration payments. The discounted amount of contingent consideration and the equity values are subject to the Monte-Carlo simulations for 100,000</w:t>
      </w:r>
      <w:r>
        <w:rPr>
          <w:rFonts w:ascii="Times New Roman" w:hAnsi="Times New Roman"/>
          <w:color w:val="000000"/>
          <w:sz w:val="20"/>
        </w:rPr>
        <w:t xml:space="preserve"> </w:t>
      </w:r>
      <w:r>
        <w:rPr>
          <w:rFonts w:ascii="Arial" w:hAnsi="Arial"/>
          <w:color w:val="000000"/>
          <w:sz w:val="20"/>
        </w:rPr>
        <w:t>trials to derive the fair value of the contingent consideration. The estimated contingent consideration liability as of June 30, 2026 and December 31, 2025, related to the Rahko acquisition was $14.0</w:t>
      </w:r>
      <w:r>
        <w:rPr>
          <w:rFonts w:ascii="Times New Roman" w:hAnsi="Times New Roman"/>
          <w:color w:val="000000"/>
          <w:sz w:val="20"/>
        </w:rPr>
        <w:t xml:space="preserve"> </w:t>
      </w:r>
      <w:r>
        <w:rPr>
          <w:rFonts w:ascii="Arial" w:hAnsi="Arial"/>
          <w:color w:val="000000"/>
          <w:sz w:val="20"/>
        </w:rPr>
        <w:t>million and $4.7</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The Company completed its IPO in May 2026 and, therefore, the probability of completing an IPO is no longer a significant input into the valuation of the Rahko contingent consideration. The following table sets forth the assumptions, which are significant inputs to the Monte-Carlo simulation used to value such contingent consideration as of June 30, 2026:</w:t>
      </w:r>
    </w:p>
    <w:p>
      <w:pPr>
        <w:pStyle w:val="TextBody"/>
        <w:bidi w:val="0"/>
        <w:jc w:val="both"/>
        <w:rPr/>
      </w:pPr>
      <w:r>
        <w:rPr/>
        <w:t> </w:t>
      </w:r>
    </w:p>
    <w:tbl>
      <w:tblPr>
        <w:tblW w:w="8797" w:type="dxa"/>
        <w:jc w:val="left"/>
        <w:tblInd w:w="0" w:type="dxa"/>
        <w:tblLayout w:type="fixed"/>
        <w:tblCellMar>
          <w:top w:w="28" w:type="dxa"/>
          <w:left w:w="28" w:type="dxa"/>
          <w:bottom w:w="28" w:type="dxa"/>
          <w:right w:w="28" w:type="dxa"/>
        </w:tblCellMar>
      </w:tblPr>
      <w:tblGrid>
        <w:gridCol w:w="1516"/>
        <w:gridCol w:w="146"/>
        <w:gridCol w:w="1501"/>
        <w:gridCol w:w="146"/>
        <w:gridCol w:w="3706"/>
        <w:gridCol w:w="146"/>
        <w:gridCol w:w="163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87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June 30, 2026</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Expected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Discount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Risk Free Rate Applied to Equity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 Volatility</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19.9% - 25.9%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97.3%</w:t>
            </w:r>
          </w:p>
        </w:tc>
      </w:tr>
    </w:tbl>
    <w:p>
      <w:pPr>
        <w:pStyle w:val="TextBody"/>
        <w:bidi w:val="0"/>
        <w:spacing w:before="240" w:after="283"/>
        <w:jc w:val="left"/>
        <w:rPr>
          <w:rFonts w:ascii="Arial" w:hAnsi="Arial"/>
          <w:color w:val="000000"/>
          <w:sz w:val="20"/>
        </w:rPr>
      </w:pPr>
      <w:r>
        <w:rPr>
          <w:rFonts w:ascii="Arial" w:hAnsi="Arial"/>
          <w:color w:val="000000"/>
          <w:sz w:val="20"/>
        </w:rPr>
        <w:t>As of December 31, 2025, given the Company was still a private entity, the following table sets forth the probability of completing an IPO (measured as a standalone metric separate from the other necessary triggers for the contingent consideration related to the Rahko acquisition), which was a significant input to the Monte-Carlo simulation used to value such contingent consideration:</w:t>
      </w:r>
    </w:p>
    <w:p>
      <w:pPr>
        <w:pStyle w:val="Heading2"/>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52"/>
        <w:gridCol w:w="146"/>
        <w:gridCol w:w="2072"/>
        <w:gridCol w:w="146"/>
        <w:gridCol w:w="1369"/>
        <w:gridCol w:w="146"/>
        <w:gridCol w:w="3042"/>
        <w:gridCol w:w="146"/>
        <w:gridCol w:w="1486"/>
      </w:tblGrid>
      <w:tr>
        <w:trPr/>
        <w:tc>
          <w:tcPr>
            <w:tcW w:w="1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December 31, 2025</w:t>
            </w:r>
          </w:p>
        </w:tc>
      </w:tr>
      <w:tr>
        <w:trPr/>
        <w:tc>
          <w:tcPr>
            <w:tcW w:w="1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Expected IPO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Probability of IPO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Discount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Risk Free Rate Applied to Equity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 Volatility</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15.3% - 16.1%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96.2%</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15.3% - 16.0%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96.4%</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28,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15.3% - 16.0%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96.5%</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30,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15.3% - 16.0%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96.5%</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Varies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Varies</w:t>
            </w:r>
          </w:p>
        </w:tc>
      </w:tr>
    </w:tbl>
    <w:p>
      <w:pPr>
        <w:pStyle w:val="Heading2"/>
        <w:bidi w:val="0"/>
        <w:jc w:val="both"/>
        <w:rPr/>
      </w:pPr>
      <w:r>
        <w:rPr/>
        <w:t> </w:t>
      </w:r>
    </w:p>
    <w:p>
      <w:pPr>
        <w:pStyle w:val="Heading2"/>
        <w:bidi w:val="0"/>
        <w:jc w:val="left"/>
        <w:rPr>
          <w:rFonts w:ascii="Times New Roman" w:hAnsi="Times New Roman"/>
          <w:sz w:val="20"/>
        </w:rPr>
      </w:pPr>
      <w:r>
        <w:rPr>
          <w:rFonts w:ascii="Arial" w:hAnsi="Arial"/>
          <w:b w:val="false"/>
          <w:color w:val="000000"/>
          <w:sz w:val="20"/>
        </w:rPr>
        <w:t>*</w:t>
      </w:r>
      <w:r>
        <w:rPr>
          <w:rFonts w:ascii="Arial" w:hAnsi="Arial"/>
          <w:color w:val="000000"/>
          <w:sz w:val="20"/>
        </w:rPr>
        <w:t>Reflects the probability weighted expected term of 1.83</w:t>
      </w:r>
      <w:r>
        <w:rPr>
          <w:rFonts w:ascii="Times New Roman" w:hAnsi="Times New Roman"/>
          <w:color w:val="000000"/>
          <w:sz w:val="20"/>
        </w:rPr>
        <w:t xml:space="preserve"> </w:t>
      </w:r>
      <w:r>
        <w:rPr>
          <w:rFonts w:ascii="Arial" w:hAnsi="Arial"/>
          <w:color w:val="000000"/>
          <w:sz w:val="20"/>
        </w:rPr>
        <w:t>years for the remaining scenarios between August 2027 and December 2027 with each scenario weighted 14.2% overall, for an aggregate probability weight of 42.6%.</w:t>
      </w:r>
    </w:p>
    <w:p>
      <w:pPr>
        <w:pStyle w:val="Heading2"/>
        <w:bidi w:val="0"/>
        <w:spacing w:before="240" w:after="283"/>
        <w:jc w:val="left"/>
        <w:rPr>
          <w:rFonts w:ascii="Arial" w:hAnsi="Arial"/>
          <w:b w:val="false"/>
          <w:color w:val="000000"/>
          <w:sz w:val="20"/>
        </w:rPr>
      </w:pPr>
      <w:r>
        <w:rPr>
          <w:rFonts w:ascii="Arial" w:hAnsi="Arial"/>
          <w:b w:val="false"/>
          <w:color w:val="000000"/>
          <w:sz w:val="20"/>
        </w:rPr>
        <w:t>Significant increases or decreases in these inputs could result in a significantly lower or higher fair value measurement of the contingent consideration liability.</w:t>
      </w:r>
    </w:p>
    <w:p>
      <w:pPr>
        <w:pStyle w:val="Heading2"/>
        <w:bidi w:val="0"/>
        <w:spacing w:before="240" w:after="283"/>
        <w:jc w:val="left"/>
        <w:rPr>
          <w:rFonts w:ascii="Arial" w:hAnsi="Arial"/>
          <w:i/>
          <w:color w:val="000000"/>
          <w:sz w:val="20"/>
        </w:rPr>
      </w:pPr>
      <w:r>
        <w:rPr>
          <w:rFonts w:ascii="Arial" w:hAnsi="Arial"/>
          <w:i/>
          <w:color w:val="000000"/>
          <w:sz w:val="20"/>
        </w:rPr>
        <w:t>Valuation of LSA Warrant Liability</w:t>
      </w:r>
    </w:p>
    <w:p>
      <w:pPr>
        <w:pStyle w:val="Heading2"/>
        <w:bidi w:val="0"/>
        <w:spacing w:before="240" w:after="283"/>
        <w:jc w:val="left"/>
        <w:rPr>
          <w:rFonts w:ascii="Times New Roman" w:hAnsi="Times New Roman"/>
          <w:sz w:val="20"/>
        </w:rPr>
      </w:pPr>
      <w:r>
        <w:rPr>
          <w:rFonts w:ascii="Arial" w:hAnsi="Arial"/>
          <w:b w:val="false"/>
          <w:color w:val="000000"/>
          <w:sz w:val="20"/>
        </w:rPr>
        <w:t>In March 2022, the Company issued a warrant to purchase up to 64,992</w:t>
      </w:r>
      <w:r>
        <w:rPr>
          <w:rFonts w:ascii="Times New Roman" w:hAnsi="Times New Roman"/>
          <w:color w:val="000000"/>
          <w:sz w:val="20"/>
        </w:rPr>
        <w:t xml:space="preserve"> </w:t>
      </w:r>
      <w:r>
        <w:rPr>
          <w:rFonts w:ascii="Arial" w:hAnsi="Arial"/>
          <w:b w:val="false"/>
          <w:color w:val="000000"/>
          <w:sz w:val="20"/>
        </w:rPr>
        <w:t>shares of Series A-2 convertible preferred stock (the “LSA Warrant”) with an exercise price of $6.15</w:t>
      </w:r>
      <w:r>
        <w:rPr>
          <w:rFonts w:ascii="Times New Roman" w:hAnsi="Times New Roman"/>
          <w:color w:val="000000"/>
          <w:sz w:val="20"/>
        </w:rPr>
        <w:t xml:space="preserve"> </w:t>
      </w:r>
      <w:r>
        <w:rPr>
          <w:rFonts w:ascii="Arial" w:hAnsi="Arial"/>
          <w:b w:val="false"/>
          <w:color w:val="000000"/>
          <w:sz w:val="20"/>
        </w:rPr>
        <w:t>(see Note 11). Upon issuance, the LSA Warrant required liability classification, as the Series A-2 convertible preferred stock underlying the LSA Warrant is redeemable outside of the control of the Company. The Company initially recorded the LSA Warrant at fair value and records changes in fair value at each reporting period. At the LSA Warrant issuance date, the right of the holder to purchase 16,248</w:t>
      </w:r>
      <w:r>
        <w:rPr>
          <w:rFonts w:ascii="Times New Roman" w:hAnsi="Times New Roman"/>
          <w:color w:val="000000"/>
          <w:sz w:val="20"/>
        </w:rPr>
        <w:t xml:space="preserve"> </w:t>
      </w:r>
      <w:r>
        <w:rPr>
          <w:rFonts w:ascii="Arial" w:hAnsi="Arial"/>
          <w:b w:val="false"/>
          <w:color w:val="000000"/>
          <w:sz w:val="20"/>
        </w:rPr>
        <w:t>shares immediately vested and was exercisable. The right to purchase the remaining 48,744</w:t>
      </w:r>
      <w:r>
        <w:rPr>
          <w:rFonts w:ascii="Times New Roman" w:hAnsi="Times New Roman"/>
          <w:color w:val="000000"/>
          <w:sz w:val="20"/>
        </w:rPr>
        <w:t xml:space="preserve"> </w:t>
      </w:r>
      <w:r>
        <w:rPr>
          <w:rFonts w:ascii="Arial" w:hAnsi="Arial"/>
          <w:b w:val="false"/>
          <w:color w:val="000000"/>
          <w:sz w:val="20"/>
        </w:rPr>
        <w:t>shares was forfeited upon termination of the LSA by the Company in April 2023. As of December 31, 2025, the LSA Warrant to purchase 16,248</w:t>
      </w:r>
      <w:r>
        <w:rPr>
          <w:rFonts w:ascii="Times New Roman" w:hAnsi="Times New Roman"/>
          <w:color w:val="000000"/>
          <w:sz w:val="20"/>
        </w:rPr>
        <w:t xml:space="preserve"> </w:t>
      </w:r>
      <w:r>
        <w:rPr>
          <w:rFonts w:ascii="Arial" w:hAnsi="Arial"/>
          <w:b w:val="false"/>
          <w:color w:val="000000"/>
          <w:sz w:val="20"/>
        </w:rPr>
        <w:t>shares of Series A-2 convertible preferred stock was issued and outstanding.</w:t>
      </w:r>
    </w:p>
    <w:p>
      <w:pPr>
        <w:pStyle w:val="Heading2"/>
        <w:bidi w:val="0"/>
        <w:spacing w:before="240" w:after="283"/>
        <w:jc w:val="left"/>
        <w:rPr>
          <w:rFonts w:ascii="Times New Roman" w:hAnsi="Times New Roman"/>
          <w:sz w:val="20"/>
        </w:rPr>
      </w:pPr>
      <w:r>
        <w:rPr>
          <w:rFonts w:ascii="Arial" w:hAnsi="Arial"/>
          <w:b w:val="false"/>
          <w:color w:val="000000"/>
          <w:sz w:val="20"/>
        </w:rPr>
        <w:t>Upon the Company's IPO, the LSA Warrant to purchase 16,248</w:t>
      </w:r>
      <w:r>
        <w:rPr>
          <w:rFonts w:ascii="Times New Roman" w:hAnsi="Times New Roman"/>
          <w:color w:val="000000"/>
          <w:sz w:val="20"/>
        </w:rPr>
        <w:t xml:space="preserve"> </w:t>
      </w:r>
      <w:r>
        <w:rPr>
          <w:rFonts w:ascii="Arial" w:hAnsi="Arial"/>
          <w:b w:val="false"/>
          <w:color w:val="000000"/>
          <w:sz w:val="20"/>
        </w:rPr>
        <w:t>shares of Series A-2 convertible preferred stock automatically converted into a warrant to purchase 1,742</w:t>
      </w:r>
      <w:r>
        <w:rPr>
          <w:rFonts w:ascii="Times New Roman" w:hAnsi="Times New Roman"/>
          <w:color w:val="000000"/>
          <w:sz w:val="20"/>
        </w:rPr>
        <w:t xml:space="preserve"> </w:t>
      </w:r>
      <w:r>
        <w:rPr>
          <w:rFonts w:ascii="Arial" w:hAnsi="Arial"/>
          <w:b w:val="false"/>
          <w:color w:val="000000"/>
          <w:sz w:val="20"/>
        </w:rPr>
        <w:t>shares of common stock in accordance with the conversion provisions. Following the conversion, the Company determined that the LSA Warrant met the criteria for equity classification. The Company remeasured the LSA Warrant to fair value immediately prior to the IPO, and the resulting warrant liability was reclassified to additional paid-in capital. As of June 30, 2026, the LSA Warrant to purchase 1,742</w:t>
      </w:r>
      <w:r>
        <w:rPr>
          <w:rFonts w:ascii="Times New Roman" w:hAnsi="Times New Roman"/>
          <w:color w:val="000000"/>
          <w:sz w:val="20"/>
        </w:rPr>
        <w:t xml:space="preserve"> </w:t>
      </w:r>
      <w:r>
        <w:rPr>
          <w:rFonts w:ascii="Arial" w:hAnsi="Arial"/>
          <w:b w:val="false"/>
          <w:color w:val="000000"/>
          <w:sz w:val="20"/>
        </w:rPr>
        <w:t>shares of common stock was issued and outstanding.</w:t>
      </w:r>
    </w:p>
    <w:p>
      <w:pPr>
        <w:pStyle w:val="TextBody"/>
        <w:bidi w:val="0"/>
        <w:spacing w:before="240" w:after="283"/>
        <w:jc w:val="left"/>
        <w:rPr>
          <w:rFonts w:ascii="Arial" w:hAnsi="Arial"/>
          <w:color w:val="000000"/>
          <w:sz w:val="20"/>
        </w:rPr>
      </w:pPr>
      <w:r>
        <w:rPr>
          <w:rFonts w:ascii="Arial" w:hAnsi="Arial"/>
          <w:color w:val="000000"/>
          <w:sz w:val="20"/>
        </w:rPr>
        <w:t>As of December 31, 2025, the estimated fair value of the LSA Warrant liability was determined using an option pricing model with the following assumptions:</w:t>
      </w:r>
    </w:p>
    <w:p>
      <w:pPr>
        <w:pStyle w:val="TextBody"/>
        <w:bidi w:val="0"/>
        <w:jc w:val="both"/>
        <w:rPr/>
      </w:pPr>
      <w:r>
        <w:rPr/>
        <w:t> </w:t>
      </w:r>
    </w:p>
    <w:tbl>
      <w:tblPr>
        <w:tblW w:w="8050" w:type="dxa"/>
        <w:jc w:val="left"/>
        <w:tblInd w:w="0" w:type="dxa"/>
        <w:tblLayout w:type="fixed"/>
        <w:tblCellMar>
          <w:top w:w="28" w:type="dxa"/>
          <w:left w:w="28" w:type="dxa"/>
          <w:bottom w:w="28" w:type="dxa"/>
          <w:right w:w="28" w:type="dxa"/>
        </w:tblCellMar>
      </w:tblPr>
      <w:tblGrid>
        <w:gridCol w:w="4111"/>
        <w:gridCol w:w="146"/>
        <w:gridCol w:w="331"/>
        <w:gridCol w:w="854"/>
        <w:gridCol w:w="286"/>
        <w:gridCol w:w="146"/>
        <w:gridCol w:w="514"/>
        <w:gridCol w:w="1331"/>
        <w:gridCol w:w="33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Significant 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May 7,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until a liquidity event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Annual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The following table presents a roll-forward of the aggregate fair values of the Company’s liabilities for which fair value is determined by Level 3 inputs:</w:t>
      </w:r>
    </w:p>
    <w:p>
      <w:pPr>
        <w:pStyle w:val="TextBody"/>
        <w:bidi w:val="0"/>
        <w:jc w:val="both"/>
        <w:rPr/>
      </w:pPr>
      <w:r>
        <w:rPr/>
        <w:t> </w:t>
      </w:r>
    </w:p>
    <w:tbl>
      <w:tblPr>
        <w:tblW w:w="7640" w:type="dxa"/>
        <w:jc w:val="left"/>
        <w:tblInd w:w="0" w:type="dxa"/>
        <w:tblLayout w:type="fixed"/>
        <w:tblCellMar>
          <w:top w:w="28" w:type="dxa"/>
          <w:left w:w="28" w:type="dxa"/>
          <w:bottom w:w="28" w:type="dxa"/>
          <w:right w:w="28" w:type="dxa"/>
        </w:tblCellMar>
      </w:tblPr>
      <w:tblGrid>
        <w:gridCol w:w="2866"/>
        <w:gridCol w:w="146"/>
        <w:gridCol w:w="586"/>
        <w:gridCol w:w="1049"/>
        <w:gridCol w:w="166"/>
        <w:gridCol w:w="146"/>
        <w:gridCol w:w="582"/>
        <w:gridCol w:w="1908"/>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Warrant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Contingent Consideration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Reclassification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640" w:type="dxa"/>
        <w:jc w:val="left"/>
        <w:tblInd w:w="0" w:type="dxa"/>
        <w:tblLayout w:type="fixed"/>
        <w:tblCellMar>
          <w:top w:w="28" w:type="dxa"/>
          <w:left w:w="28" w:type="dxa"/>
          <w:bottom w:w="28" w:type="dxa"/>
          <w:right w:w="28" w:type="dxa"/>
        </w:tblCellMar>
      </w:tblPr>
      <w:tblGrid>
        <w:gridCol w:w="2866"/>
        <w:gridCol w:w="146"/>
        <w:gridCol w:w="653"/>
        <w:gridCol w:w="982"/>
        <w:gridCol w:w="146"/>
        <w:gridCol w:w="146"/>
        <w:gridCol w:w="582"/>
        <w:gridCol w:w="1908"/>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Warrant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Arial" w:hAnsi="Arial"/>
          <w:b/>
          <w:color w:val="000000"/>
          <w:sz w:val="20"/>
        </w:rPr>
      </w:pPr>
      <w:r>
        <w:rPr>
          <w:rFonts w:ascii="Arial" w:hAnsi="Arial"/>
          <w:b/>
          <w:color w:val="000000"/>
          <w:sz w:val="20"/>
        </w:rPr>
        <w:t>6.</w:t>
      </w:r>
    </w:p>
    <w:p>
      <w:pPr>
        <w:pStyle w:val="TextBody"/>
        <w:bidi w:val="0"/>
        <w:jc w:val="left"/>
        <w:rPr>
          <w:rFonts w:ascii="Arial" w:hAnsi="Arial"/>
          <w:b/>
          <w:color w:val="000000"/>
          <w:sz w:val="20"/>
        </w:rPr>
      </w:pPr>
      <w:r>
        <w:rPr>
          <w:rFonts w:ascii="Arial" w:hAnsi="Arial"/>
          <w:b/>
          <w:color w:val="000000"/>
          <w:sz w:val="20"/>
        </w:rPr>
        <w:t>Cash, Cash Equivalents, Restricted Cash, and Marketable Securities</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The following tables summarize the Company’s marketable securities held as of June 30, 2026 and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89"/>
        <w:gridCol w:w="146"/>
        <w:gridCol w:w="276"/>
        <w:gridCol w:w="1045"/>
        <w:gridCol w:w="146"/>
        <w:gridCol w:w="146"/>
        <w:gridCol w:w="660"/>
        <w:gridCol w:w="1083"/>
        <w:gridCol w:w="146"/>
        <w:gridCol w:w="146"/>
        <w:gridCol w:w="550"/>
        <w:gridCol w:w="1256"/>
        <w:gridCol w:w="166"/>
        <w:gridCol w:w="146"/>
        <w:gridCol w:w="215"/>
        <w:gridCol w:w="814"/>
        <w:gridCol w:w="475"/>
      </w:tblGrid>
      <w:tr>
        <w:trPr/>
        <w:tc>
          <w:tcPr>
            <w:tcW w:w="2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bills and 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351,038</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351,038</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9"/>
        <w:gridCol w:w="146"/>
        <w:gridCol w:w="276"/>
        <w:gridCol w:w="1046"/>
        <w:gridCol w:w="146"/>
        <w:gridCol w:w="146"/>
        <w:gridCol w:w="698"/>
        <w:gridCol w:w="1049"/>
        <w:gridCol w:w="146"/>
        <w:gridCol w:w="146"/>
        <w:gridCol w:w="685"/>
        <w:gridCol w:w="1125"/>
        <w:gridCol w:w="146"/>
        <w:gridCol w:w="146"/>
        <w:gridCol w:w="215"/>
        <w:gridCol w:w="814"/>
        <w:gridCol w:w="476"/>
      </w:tblGrid>
      <w:tr>
        <w:trPr/>
        <w:tc>
          <w:tcPr>
            <w:tcW w:w="2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bills and 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color w:val="000000"/>
          <w:sz w:val="20"/>
        </w:rPr>
        <w:t>The Company determined that there was no material credit risk associated with the above investments as of June 30, 2026 and December 31, 2025. The Company has the intent and ability to hold these securities until recovery. As a result, the Company did not record any charges for credit-related impairments for its marketable securities during the six months ended June 30, 2026 and 2025.</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available-for-sale debt securities held as of June 30, 2026 had remaining maturities greater than 21</w:t>
      </w:r>
      <w:r>
        <w:rPr>
          <w:rFonts w:ascii="Times New Roman" w:hAnsi="Times New Roman"/>
          <w:color w:val="000000"/>
          <w:sz w:val="20"/>
        </w:rPr>
        <w:t xml:space="preserve"> </w:t>
      </w:r>
      <w:r>
        <w:rPr>
          <w:rFonts w:ascii="Arial" w:hAnsi="Arial"/>
          <w:color w:val="000000"/>
          <w:sz w:val="20"/>
        </w:rPr>
        <w:t>months.</w:t>
      </w:r>
    </w:p>
    <w:p>
      <w:pPr>
        <w:pStyle w:val="TextBody"/>
        <w:bidi w:val="0"/>
        <w:spacing w:before="240" w:after="283"/>
        <w:jc w:val="both"/>
        <w:rPr>
          <w:rFonts w:ascii="Arial" w:hAnsi="Arial"/>
          <w:b/>
          <w:color w:val="000000"/>
          <w:sz w:val="20"/>
        </w:rPr>
      </w:pPr>
      <w:r>
        <w:rPr>
          <w:rFonts w:ascii="Arial" w:hAnsi="Arial"/>
          <w:b/>
          <w:color w:val="000000"/>
          <w:sz w:val="20"/>
        </w:rPr>
        <w:t>7.</w:t>
      </w:r>
    </w:p>
    <w:p>
      <w:pPr>
        <w:pStyle w:val="TextBody"/>
        <w:bidi w:val="0"/>
        <w:spacing w:before="240" w:after="283"/>
        <w:jc w:val="both"/>
        <w:rPr>
          <w:rFonts w:ascii="Arial" w:hAnsi="Arial"/>
          <w:b/>
          <w:color w:val="000000"/>
          <w:sz w:val="20"/>
        </w:rPr>
      </w:pPr>
      <w:r>
        <w:rPr>
          <w:rFonts w:ascii="Arial" w:hAnsi="Arial"/>
          <w:b/>
          <w:color w:val="000000"/>
          <w:sz w:val="20"/>
        </w:rPr>
        <w:t>Property and Equipment, Net</w:t>
      </w:r>
    </w:p>
    <w:p>
      <w:pPr>
        <w:pStyle w:val="TextBody"/>
        <w:bidi w:val="0"/>
        <w:spacing w:before="240" w:after="283"/>
        <w:jc w:val="left"/>
        <w:rPr>
          <w:rFonts w:ascii="Arial" w:hAnsi="Arial"/>
          <w:color w:val="000000"/>
          <w:sz w:val="20"/>
        </w:rPr>
      </w:pPr>
      <w:r>
        <w:rPr>
          <w:rFonts w:ascii="Arial" w:hAnsi="Arial"/>
          <w:color w:val="000000"/>
          <w:sz w:val="20"/>
        </w:rPr>
        <w:t>Property and equipment and related accumulated depreciation consist of the following:</w:t>
      </w:r>
    </w:p>
    <w:p>
      <w:pPr>
        <w:pStyle w:val="TextBody"/>
        <w:bidi w:val="0"/>
        <w:jc w:val="left"/>
        <w:rPr/>
      </w:pPr>
      <w:r>
        <w:rPr/>
        <w:t> </w:t>
      </w:r>
    </w:p>
    <w:tbl>
      <w:tblPr>
        <w:tblW w:w="6865" w:type="dxa"/>
        <w:jc w:val="left"/>
        <w:tblInd w:w="0" w:type="dxa"/>
        <w:tblLayout w:type="fixed"/>
        <w:tblCellMar>
          <w:top w:w="28" w:type="dxa"/>
          <w:left w:w="28" w:type="dxa"/>
          <w:bottom w:w="28" w:type="dxa"/>
          <w:right w:w="28" w:type="dxa"/>
        </w:tblCellMar>
      </w:tblPr>
      <w:tblGrid>
        <w:gridCol w:w="2986"/>
        <w:gridCol w:w="146"/>
        <w:gridCol w:w="299"/>
        <w:gridCol w:w="1066"/>
        <w:gridCol w:w="166"/>
        <w:gridCol w:w="146"/>
        <w:gridCol w:w="404"/>
        <w:gridCol w:w="1441"/>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9"/>
        </w:rPr>
        <w:t xml:space="preserve">Total depreciation expense was </w:t>
      </w:r>
      <w:r>
        <w:rPr>
          <w:rFonts w:ascii="Arial" w:hAnsi="Arial"/>
          <w:color w:val="000000"/>
          <w:sz w:val="20"/>
        </w:rPr>
        <w:t>$0.9</w:t>
      </w:r>
      <w:r>
        <w:rPr>
          <w:rFonts w:ascii="Times New Roman" w:hAnsi="Times New Roman"/>
          <w:color w:val="000000"/>
          <w:sz w:val="20"/>
        </w:rPr>
        <w:t xml:space="preserve"> </w:t>
      </w:r>
      <w:r>
        <w:rPr>
          <w:rFonts w:ascii="Arial" w:hAnsi="Arial"/>
          <w:color w:val="000000"/>
          <w:sz w:val="19"/>
        </w:rPr>
        <w:t xml:space="preserve">million and </w:t>
      </w:r>
      <w:r>
        <w:rPr>
          <w:rFonts w:ascii="Arial" w:hAnsi="Arial"/>
          <w:color w:val="000000"/>
          <w:sz w:val="20"/>
        </w:rPr>
        <w:t>$1.9</w:t>
      </w:r>
      <w:r>
        <w:rPr>
          <w:rFonts w:ascii="Times New Roman" w:hAnsi="Times New Roman"/>
          <w:color w:val="000000"/>
          <w:sz w:val="20"/>
        </w:rPr>
        <w:t xml:space="preserve"> </w:t>
      </w:r>
      <w:r>
        <w:rPr>
          <w:rFonts w:ascii="Arial" w:hAnsi="Arial"/>
          <w:color w:val="000000"/>
          <w:sz w:val="19"/>
        </w:rPr>
        <w:t xml:space="preserve">million for three and six months ended June 30, 2026, respectively, and </w:t>
      </w:r>
      <w:r>
        <w:rPr>
          <w:rFonts w:ascii="Arial" w:hAnsi="Arial"/>
          <w:color w:val="000000"/>
          <w:sz w:val="20"/>
        </w:rPr>
        <w:t>$1.1</w:t>
      </w:r>
      <w:r>
        <w:rPr>
          <w:rFonts w:ascii="Times New Roman" w:hAnsi="Times New Roman"/>
          <w:color w:val="000000"/>
          <w:sz w:val="20"/>
        </w:rPr>
        <w:t xml:space="preserve"> </w:t>
      </w:r>
      <w:r>
        <w:rPr>
          <w:rFonts w:ascii="Arial" w:hAnsi="Arial"/>
          <w:color w:val="000000"/>
          <w:sz w:val="19"/>
        </w:rPr>
        <w:t xml:space="preserve">million and </w:t>
      </w:r>
      <w:r>
        <w:rPr>
          <w:rFonts w:ascii="Arial" w:hAnsi="Arial"/>
          <w:color w:val="000000"/>
          <w:sz w:val="20"/>
        </w:rPr>
        <w:t>$2.3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19"/>
        </w:rPr>
        <w:t>for the three and six months ended June 30, 2025, respectively.</w:t>
      </w:r>
      <w:r>
        <w:rPr>
          <w:rFonts w:ascii="Times New Roman" w:hAnsi="Times New Roman"/>
          <w:color w:val="000000"/>
          <w:sz w:val="20"/>
        </w:rPr>
        <w:t xml:space="preserve"> </w:t>
      </w:r>
      <w:r>
        <w:rPr>
          <w:rFonts w:ascii="Arial" w:hAnsi="Arial"/>
          <w:color w:val="000000"/>
          <w:sz w:val="20"/>
        </w:rPr>
        <w:t>For the three and six months ended June 30, 2026, the Company recognized losses on disposal of $0.6</w:t>
      </w:r>
      <w:r>
        <w:rPr>
          <w:rFonts w:ascii="Times New Roman" w:hAnsi="Times New Roman"/>
          <w:color w:val="000000"/>
          <w:sz w:val="20"/>
        </w:rPr>
        <w:t xml:space="preserve"> </w:t>
      </w:r>
      <w:r>
        <w:rPr>
          <w:rFonts w:ascii="Arial" w:hAnsi="Arial"/>
          <w:color w:val="000000"/>
          <w:sz w:val="20"/>
        </w:rPr>
        <w:t>million. For the three and six months ended June 30, 2025, the Company recognized gains on disposal of $0.1</w:t>
      </w:r>
      <w:r>
        <w:rPr>
          <w:rFonts w:ascii="Times New Roman" w:hAnsi="Times New Roman"/>
          <w:color w:val="000000"/>
          <w:sz w:val="20"/>
        </w:rPr>
        <w:t xml:space="preserve"> </w:t>
      </w:r>
      <w:r>
        <w:rPr>
          <w:rFonts w:ascii="Arial" w:hAnsi="Arial"/>
          <w:color w:val="000000"/>
          <w:sz w:val="20"/>
        </w:rPr>
        <w:t>million and losses on disposal of $0.4</w:t>
      </w:r>
      <w:r>
        <w:rPr>
          <w:rFonts w:ascii="Times New Roman" w:hAnsi="Times New Roman"/>
          <w:color w:val="000000"/>
          <w:sz w:val="20"/>
        </w:rPr>
        <w:t xml:space="preserve"> </w:t>
      </w:r>
      <w:r>
        <w:rPr>
          <w:rFonts w:ascii="Arial" w:hAnsi="Arial"/>
          <w:color w:val="000000"/>
          <w:sz w:val="20"/>
        </w:rPr>
        <w:t>million, respectively. Gain or loss on disposal of property and equipment is included in research and development expenses on the condensed consolidated statements of operations and comprehensive loss.</w:t>
      </w:r>
    </w:p>
    <w:p>
      <w:pPr>
        <w:pStyle w:val="TextBody"/>
        <w:bidi w:val="0"/>
        <w:spacing w:before="240" w:after="283"/>
        <w:jc w:val="both"/>
        <w:rPr>
          <w:rFonts w:ascii="Arial" w:hAnsi="Arial"/>
          <w:b/>
          <w:color w:val="000000"/>
          <w:sz w:val="20"/>
        </w:rPr>
      </w:pPr>
      <w:r>
        <w:rPr>
          <w:rFonts w:ascii="Arial" w:hAnsi="Arial"/>
          <w:b/>
          <w:color w:val="000000"/>
          <w:sz w:val="20"/>
        </w:rPr>
        <w:t>8.</w:t>
      </w:r>
    </w:p>
    <w:p>
      <w:pPr>
        <w:pStyle w:val="TextBody"/>
        <w:bidi w:val="0"/>
        <w:spacing w:before="240" w:after="283"/>
        <w:jc w:val="both"/>
        <w:rPr>
          <w:rFonts w:ascii="Arial" w:hAnsi="Arial"/>
          <w:b/>
          <w:color w:val="000000"/>
          <w:sz w:val="20"/>
        </w:rPr>
      </w:pPr>
      <w:r>
        <w:rPr>
          <w:rFonts w:ascii="Arial" w:hAnsi="Arial"/>
          <w:b/>
          <w:color w:val="000000"/>
          <w:sz w:val="20"/>
        </w:rPr>
        <w:t>Accrued Expenses and Other Current Liabilities</w:t>
      </w:r>
    </w:p>
    <w:p>
      <w:pPr>
        <w:pStyle w:val="TextBody"/>
        <w:bidi w:val="0"/>
        <w:spacing w:before="240" w:after="283"/>
        <w:jc w:val="left"/>
        <w:rPr>
          <w:rFonts w:ascii="Arial" w:hAnsi="Arial"/>
          <w:color w:val="000000"/>
          <w:sz w:val="20"/>
        </w:rPr>
      </w:pPr>
      <w:r>
        <w:rPr>
          <w:rFonts w:ascii="Arial" w:hAnsi="Arial"/>
          <w:color w:val="000000"/>
          <w:sz w:val="20"/>
        </w:rPr>
        <w:t>Accrued expenses and other current liabilities consist of the following:</w:t>
      </w:r>
    </w:p>
    <w:p>
      <w:pPr>
        <w:pStyle w:val="TextBody"/>
        <w:bidi w:val="0"/>
        <w:jc w:val="left"/>
        <w:rPr/>
      </w:pPr>
      <w:r>
        <w:rPr/>
        <w:t> </w:t>
      </w:r>
    </w:p>
    <w:tbl>
      <w:tblPr>
        <w:tblW w:w="8205" w:type="dxa"/>
        <w:jc w:val="left"/>
        <w:tblInd w:w="0" w:type="dxa"/>
        <w:tblLayout w:type="fixed"/>
        <w:tblCellMar>
          <w:top w:w="28" w:type="dxa"/>
          <w:left w:w="28" w:type="dxa"/>
          <w:bottom w:w="28" w:type="dxa"/>
          <w:right w:w="28" w:type="dxa"/>
        </w:tblCellMar>
      </w:tblPr>
      <w:tblGrid>
        <w:gridCol w:w="4366"/>
        <w:gridCol w:w="146"/>
        <w:gridCol w:w="319"/>
        <w:gridCol w:w="1046"/>
        <w:gridCol w:w="146"/>
        <w:gridCol w:w="146"/>
        <w:gridCol w:w="431"/>
        <w:gridCol w:w="1414"/>
        <w:gridCol w:w="1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benefits, and recruiting</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research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Offering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9.</w:t>
      </w:r>
    </w:p>
    <w:p>
      <w:pPr>
        <w:pStyle w:val="TextBody"/>
        <w:bidi w:val="0"/>
        <w:jc w:val="left"/>
        <w:rPr>
          <w:rFonts w:ascii="Arial" w:hAnsi="Arial"/>
          <w:b/>
          <w:color w:val="000000"/>
          <w:sz w:val="20"/>
        </w:rPr>
      </w:pPr>
      <w:r>
        <w:rPr>
          <w:rFonts w:ascii="Arial" w:hAnsi="Arial"/>
          <w:b/>
          <w:color w:val="000000"/>
          <w:sz w:val="20"/>
        </w:rPr>
        <w:t>Leases</w:t>
      </w:r>
    </w:p>
    <w:p>
      <w:pPr>
        <w:pStyle w:val="TextBody"/>
        <w:bidi w:val="0"/>
        <w:spacing w:before="240" w:after="283"/>
        <w:jc w:val="left"/>
        <w:rPr>
          <w:rFonts w:ascii="Times New Roman" w:hAnsi="Times New Roman"/>
          <w:sz w:val="20"/>
        </w:rPr>
      </w:pPr>
      <w:r>
        <w:rPr>
          <w:rFonts w:ascii="Arial" w:hAnsi="Arial"/>
          <w:color w:val="000000"/>
          <w:sz w:val="20"/>
        </w:rPr>
        <w:t>In September 2021, the Company entered into an eight-year</w:t>
      </w:r>
      <w:r>
        <w:rPr>
          <w:rFonts w:ascii="Times New Roman" w:hAnsi="Times New Roman"/>
          <w:color w:val="000000"/>
          <w:sz w:val="20"/>
        </w:rPr>
        <w:t xml:space="preserve"> </w:t>
      </w:r>
      <w:r>
        <w:rPr>
          <w:rFonts w:ascii="Arial" w:hAnsi="Arial"/>
          <w:color w:val="000000"/>
          <w:sz w:val="20"/>
        </w:rPr>
        <w:t>lease agreement for 45,632</w:t>
      </w:r>
      <w:r>
        <w:rPr>
          <w:rFonts w:ascii="Times New Roman" w:hAnsi="Times New Roman"/>
          <w:color w:val="000000"/>
          <w:sz w:val="20"/>
        </w:rPr>
        <w:t xml:space="preserve"> </w:t>
      </w:r>
      <w:r>
        <w:rPr>
          <w:rFonts w:ascii="Arial" w:hAnsi="Arial"/>
          <w:color w:val="000000"/>
          <w:sz w:val="20"/>
        </w:rPr>
        <w:t>square feet of space for its corporate headquarters located in Boston, Massachusetts. The Company is also party to several operating leases for office and laboratory space in San Diego, California, Ann Arbor, Michigan, New York, New York, and Frankfurt, Germany, as well as leases for certain laboratory equipment.</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During the first quarter of 2025, the Company recorded an impairment loss of $5.4</w:t>
      </w:r>
      <w:r>
        <w:rPr>
          <w:rFonts w:ascii="Times New Roman" w:hAnsi="Times New Roman"/>
          <w:color w:val="000000"/>
          <w:sz w:val="20"/>
        </w:rPr>
        <w:t xml:space="preserve"> </w:t>
      </w:r>
      <w:r>
        <w:rPr>
          <w:rFonts w:ascii="Arial" w:hAnsi="Arial"/>
          <w:color w:val="000000"/>
          <w:sz w:val="20"/>
        </w:rPr>
        <w:t>million pertaining to the right-of-use (“ROU”) asset for the San Diego lease as a result of the Company’s decision to permanently cease use of the leased space. The impairment loss was measured as the excess of the carrying amount over the impaired asset group’s estimated fair value, which was determined using a discounted cash flow model. The impairment is included as a component of research and development expenses in the condensed consolidated statements of operations and comprehensive loss.</w:t>
      </w:r>
    </w:p>
    <w:p>
      <w:pPr>
        <w:pStyle w:val="TextBody"/>
        <w:bidi w:val="0"/>
        <w:spacing w:before="240" w:after="283"/>
        <w:jc w:val="left"/>
        <w:rPr>
          <w:rFonts w:ascii="Times New Roman" w:hAnsi="Times New Roman"/>
          <w:sz w:val="20"/>
        </w:rPr>
      </w:pPr>
      <w:r>
        <w:rPr>
          <w:rFonts w:ascii="Arial" w:hAnsi="Arial"/>
          <w:color w:val="000000"/>
          <w:sz w:val="20"/>
        </w:rPr>
        <w:t>In June 2025, the Company entered into a lease extension agreement for its Ann Arbor laboratory space for an additional one-year</w:t>
      </w:r>
      <w:r>
        <w:rPr>
          <w:rFonts w:ascii="Times New Roman" w:hAnsi="Times New Roman"/>
          <w:color w:val="000000"/>
          <w:sz w:val="20"/>
        </w:rPr>
        <w:t xml:space="preserve"> </w:t>
      </w:r>
      <w:r>
        <w:rPr>
          <w:rFonts w:ascii="Arial" w:hAnsi="Arial"/>
          <w:color w:val="000000"/>
          <w:sz w:val="20"/>
        </w:rPr>
        <w:t>term. The Company accounted for the lease extension as a modification of the existing lease and remeasured the ROU asset and lease liability by calculating the present value of lease payments, discounted at 10.1%, the Company’s incremental borrowing rate in June 2025, over the new lease term. The modification resulted in an increase in the ROU asset and lease liability of $0.3</w:t>
      </w:r>
      <w:r>
        <w:rPr>
          <w:rFonts w:ascii="Times New Roman" w:hAnsi="Times New Roman"/>
          <w:color w:val="000000"/>
          <w:sz w:val="20"/>
        </w:rPr>
        <w:t xml:space="preserve"> </w:t>
      </w:r>
      <w:r>
        <w:rPr>
          <w:rFonts w:ascii="Arial" w:hAnsi="Arial"/>
          <w:color w:val="000000"/>
          <w:sz w:val="20"/>
        </w:rPr>
        <w:t>million at the time of the modification.</w:t>
      </w:r>
    </w:p>
    <w:p>
      <w:pPr>
        <w:pStyle w:val="TextBody"/>
        <w:bidi w:val="0"/>
        <w:spacing w:before="240" w:after="283"/>
        <w:jc w:val="left"/>
        <w:rPr>
          <w:rFonts w:ascii="Times New Roman" w:hAnsi="Times New Roman"/>
          <w:sz w:val="20"/>
        </w:rPr>
      </w:pPr>
      <w:r>
        <w:rPr>
          <w:rFonts w:ascii="Arial" w:hAnsi="Arial"/>
          <w:color w:val="000000"/>
          <w:sz w:val="20"/>
        </w:rPr>
        <w:t>During the third quarter of 2025, the Company entered into a sublease for its New York office space that commenced on October 15, 2025</w:t>
      </w:r>
      <w:r>
        <w:rPr>
          <w:rFonts w:ascii="Times New Roman" w:hAnsi="Times New Roman"/>
          <w:color w:val="000000"/>
          <w:sz w:val="20"/>
        </w:rPr>
        <w:t xml:space="preserve"> </w:t>
      </w:r>
      <w:r>
        <w:rPr>
          <w:rFonts w:ascii="Arial" w:hAnsi="Arial"/>
          <w:color w:val="000000"/>
          <w:sz w:val="20"/>
        </w:rPr>
        <w:t>and expires on February 28, 2029. The Company recognized sublease income of $0.1</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for the three and six months ended June 30, 2026, respectively, which was recorded as a reduction of lease cost in the condensed consolidated statements of operations and comprehensive loss.</w:t>
      </w:r>
    </w:p>
    <w:p>
      <w:pPr>
        <w:pStyle w:val="TextBody"/>
        <w:bidi w:val="0"/>
        <w:spacing w:before="240" w:after="240"/>
        <w:jc w:val="left"/>
        <w:rPr>
          <w:rFonts w:ascii="Arial" w:hAnsi="Arial"/>
          <w:color w:val="000000"/>
          <w:sz w:val="20"/>
        </w:rPr>
      </w:pPr>
      <w:r>
        <w:rPr>
          <w:rFonts w:ascii="Arial" w:hAnsi="Arial"/>
          <w:color w:val="000000"/>
          <w:sz w:val="20"/>
        </w:rPr>
        <w:t>The components of lease costs are recorded within the condensed consolidated statements of operations and comprehensive loss as follows:</w:t>
      </w:r>
    </w:p>
    <w:tbl>
      <w:tblPr>
        <w:tblW w:w="8185" w:type="dxa"/>
        <w:jc w:val="left"/>
        <w:tblInd w:w="0" w:type="dxa"/>
        <w:tblLayout w:type="fixed"/>
        <w:tblCellMar>
          <w:top w:w="28" w:type="dxa"/>
          <w:left w:w="28" w:type="dxa"/>
          <w:bottom w:w="28" w:type="dxa"/>
          <w:right w:w="28" w:type="dxa"/>
        </w:tblCellMar>
      </w:tblPr>
      <w:tblGrid>
        <w:gridCol w:w="2026"/>
        <w:gridCol w:w="146"/>
        <w:gridCol w:w="318"/>
        <w:gridCol w:w="885"/>
        <w:gridCol w:w="250"/>
        <w:gridCol w:w="220"/>
        <w:gridCol w:w="318"/>
        <w:gridCol w:w="885"/>
        <w:gridCol w:w="146"/>
        <w:gridCol w:w="146"/>
        <w:gridCol w:w="294"/>
        <w:gridCol w:w="816"/>
        <w:gridCol w:w="231"/>
        <w:gridCol w:w="203"/>
        <w:gridCol w:w="294"/>
        <w:gridCol w:w="81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3,016</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2,181</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4,379</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recognized interest expense related to finance leases of $14</w:t>
      </w:r>
      <w:r>
        <w:rPr>
          <w:rFonts w:ascii="Times New Roman" w:hAnsi="Times New Roman"/>
          <w:color w:val="000000"/>
          <w:sz w:val="20"/>
        </w:rPr>
        <w:t xml:space="preserve"> </w:t>
      </w:r>
      <w:r>
        <w:rPr>
          <w:rFonts w:ascii="Arial" w:hAnsi="Arial"/>
          <w:color w:val="000000"/>
          <w:sz w:val="20"/>
        </w:rPr>
        <w:t>thousand and $24</w:t>
      </w:r>
      <w:r>
        <w:rPr>
          <w:rFonts w:ascii="Times New Roman" w:hAnsi="Times New Roman"/>
          <w:color w:val="000000"/>
          <w:sz w:val="20"/>
        </w:rPr>
        <w:t xml:space="preserve"> </w:t>
      </w:r>
      <w:r>
        <w:rPr>
          <w:rFonts w:ascii="Arial" w:hAnsi="Arial"/>
          <w:color w:val="000000"/>
          <w:sz w:val="20"/>
        </w:rPr>
        <w:t>thousand for the three and six months ended June 30, 2026, respectively, and $2</w:t>
      </w:r>
      <w:r>
        <w:rPr>
          <w:rFonts w:ascii="Times New Roman" w:hAnsi="Times New Roman"/>
          <w:color w:val="000000"/>
          <w:sz w:val="20"/>
        </w:rPr>
        <w:t xml:space="preserve"> </w:t>
      </w:r>
      <w:r>
        <w:rPr>
          <w:rFonts w:ascii="Arial" w:hAnsi="Arial"/>
          <w:color w:val="000000"/>
          <w:sz w:val="20"/>
        </w:rPr>
        <w:t>thousand and $4</w:t>
      </w:r>
      <w:r>
        <w:rPr>
          <w:rFonts w:ascii="Times New Roman" w:hAnsi="Times New Roman"/>
          <w:color w:val="000000"/>
          <w:sz w:val="20"/>
        </w:rPr>
        <w:t xml:space="preserve"> </w:t>
      </w:r>
      <w:r>
        <w:rPr>
          <w:rFonts w:ascii="Arial" w:hAnsi="Arial"/>
          <w:color w:val="000000"/>
          <w:sz w:val="20"/>
        </w:rPr>
        <w:t>thousand for the three and six months ended June 30, 2025, respectively, which is included within interest expense in the condensed consolidated statements of operations and comprehensive loss. Supplemental cash flow information related to the Company’s leases for the three and six months ended June 30, 2026 and 2025 are as follows:</w:t>
      </w:r>
    </w:p>
    <w:p>
      <w:pPr>
        <w:pStyle w:val="TextBody"/>
        <w:bidi w:val="0"/>
        <w:jc w:val="left"/>
        <w:rPr/>
      </w:pPr>
      <w:r>
        <w:rPr/>
        <w:t> </w:t>
      </w:r>
    </w:p>
    <w:tbl>
      <w:tblPr>
        <w:tblW w:w="9542" w:type="dxa"/>
        <w:jc w:val="left"/>
        <w:tblInd w:w="0" w:type="dxa"/>
        <w:tblLayout w:type="fixed"/>
        <w:tblCellMar>
          <w:top w:w="28" w:type="dxa"/>
          <w:left w:w="28" w:type="dxa"/>
          <w:bottom w:w="28" w:type="dxa"/>
          <w:right w:w="28" w:type="dxa"/>
        </w:tblCellMar>
      </w:tblPr>
      <w:tblGrid>
        <w:gridCol w:w="6271"/>
        <w:gridCol w:w="146"/>
        <w:gridCol w:w="297"/>
        <w:gridCol w:w="825"/>
        <w:gridCol w:w="205"/>
        <w:gridCol w:w="205"/>
        <w:gridCol w:w="297"/>
        <w:gridCol w:w="825"/>
        <w:gridCol w:w="47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Operating cash flows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Operating cash flows for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Financing cash outflows for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10.</w:t>
      </w:r>
    </w:p>
    <w:p>
      <w:pPr>
        <w:pStyle w:val="TextBody"/>
        <w:bidi w:val="0"/>
        <w:jc w:val="left"/>
        <w:rPr>
          <w:rFonts w:ascii="Arial" w:hAnsi="Arial"/>
          <w:b/>
          <w:color w:val="000000"/>
          <w:sz w:val="20"/>
        </w:rPr>
      </w:pPr>
      <w:r>
        <w:rPr>
          <w:rFonts w:ascii="Arial" w:hAnsi="Arial"/>
          <w:b/>
          <w:color w:val="000000"/>
          <w:sz w:val="20"/>
        </w:rPr>
        <w:t>Common Stock</w:t>
      </w:r>
    </w:p>
    <w:p>
      <w:pPr>
        <w:pStyle w:val="TextBody"/>
        <w:bidi w:val="0"/>
        <w:spacing w:before="240" w:after="240"/>
        <w:jc w:val="left"/>
        <w:rPr>
          <w:rFonts w:ascii="Times New Roman" w:hAnsi="Times New Roman"/>
          <w:sz w:val="20"/>
        </w:rPr>
      </w:pPr>
      <w:r>
        <w:rPr>
          <w:rFonts w:ascii="Arial" w:hAnsi="Arial"/>
          <w:color w:val="000000"/>
          <w:sz w:val="20"/>
        </w:rPr>
        <w:t>In May 2026, the Company’s stockholders approved the ninth amended and restated certificate of incorporation, which became effective upon its filing in connection with the closing of the Company's IPO on May 8, 2026, and which, among other things, increased the number of shares of common stock authorized for issuance from 365,081,240</w:t>
      </w:r>
      <w:r>
        <w:rPr>
          <w:rFonts w:ascii="Times New Roman" w:hAnsi="Times New Roman"/>
          <w:color w:val="000000"/>
          <w:sz w:val="20"/>
        </w:rPr>
        <w:t xml:space="preserve"> </w:t>
      </w:r>
      <w:r>
        <w:rPr>
          <w:rFonts w:ascii="Arial" w:hAnsi="Arial"/>
          <w:color w:val="000000"/>
          <w:sz w:val="20"/>
        </w:rPr>
        <w:t>to 500,000,000</w:t>
      </w:r>
      <w:r>
        <w:rPr>
          <w:rFonts w:ascii="Times New Roman" w:hAnsi="Times New Roman"/>
          <w:color w:val="000000"/>
          <w:sz w:val="20"/>
        </w:rPr>
        <w:t xml:space="preserve"> </w:t>
      </w:r>
      <w:r>
        <w:rPr>
          <w:rFonts w:ascii="Arial" w:hAnsi="Arial"/>
          <w:color w:val="000000"/>
          <w:sz w:val="20"/>
        </w:rPr>
        <w:t>shares of common stock. As of June 30, 2026, there were 47,891,252</w:t>
      </w:r>
      <w:r>
        <w:rPr>
          <w:rFonts w:ascii="Times New Roman" w:hAnsi="Times New Roman"/>
          <w:color w:val="000000"/>
          <w:sz w:val="20"/>
        </w:rPr>
        <w:t xml:space="preserve"> </w:t>
      </w:r>
      <w:r>
        <w:rPr>
          <w:rFonts w:ascii="Arial" w:hAnsi="Arial"/>
          <w:color w:val="000000"/>
          <w:sz w:val="20"/>
        </w:rPr>
        <w:t>shares of common stock issued and outstanding. In addition, the Company issued 140,068</w:t>
      </w:r>
      <w:r>
        <w:rPr>
          <w:rFonts w:ascii="Times New Roman" w:hAnsi="Times New Roman"/>
          <w:color w:val="000000"/>
          <w:sz w:val="20"/>
        </w:rPr>
        <w:t xml:space="preserve"> </w:t>
      </w:r>
      <w:r>
        <w:rPr>
          <w:rFonts w:ascii="Arial" w:hAnsi="Arial"/>
          <w:color w:val="000000"/>
          <w:sz w:val="20"/>
        </w:rPr>
        <w:t>issued shares of common stock that were subject to vesting as of June 30, 2026 (see Note 12). The Company’s outstanding non-voting common stock automatically converted into an aggregate of 8,359</w:t>
      </w:r>
      <w:r>
        <w:rPr>
          <w:rFonts w:ascii="Times New Roman" w:hAnsi="Times New Roman"/>
          <w:color w:val="000000"/>
          <w:sz w:val="20"/>
        </w:rPr>
        <w:t xml:space="preserve"> </w:t>
      </w:r>
      <w:r>
        <w:rPr>
          <w:rFonts w:ascii="Arial" w:hAnsi="Arial"/>
          <w:color w:val="000000"/>
          <w:sz w:val="20"/>
        </w:rPr>
        <w:t>shares of its common stock immediately upon the closing of the IPO.</w:t>
      </w:r>
    </w:p>
    <w:p>
      <w:pPr>
        <w:pStyle w:val="TextBody"/>
        <w:bidi w:val="0"/>
        <w:spacing w:before="0" w:after="240"/>
        <w:jc w:val="left"/>
        <w:rPr>
          <w:rFonts w:ascii="Times New Roman" w:hAnsi="Times New Roman"/>
          <w:sz w:val="20"/>
        </w:rPr>
      </w:pPr>
      <w:r>
        <w:rPr>
          <w:rFonts w:ascii="Arial" w:hAnsi="Arial"/>
          <w:color w:val="000000"/>
          <w:sz w:val="20"/>
        </w:rPr>
        <w:t>Each share of common stock entitles the holder to one vote on all matters on which stockholders have the right to vote.</w:t>
      </w:r>
      <w:r>
        <w:rPr>
          <w:rFonts w:ascii="Times New Roman" w:hAnsi="Times New Roman"/>
          <w:color w:val="000000"/>
          <w:sz w:val="20"/>
        </w:rPr>
        <w:t xml:space="preserve"> </w:t>
      </w:r>
      <w:r>
        <w:rPr>
          <w:rFonts w:ascii="Arial" w:hAnsi="Arial"/>
          <w:color w:val="000000"/>
          <w:sz w:val="20"/>
        </w:rPr>
        <w:t>The holders of common stock are entitled to receive dividends, if any, as declared by the Company’s Board of Directors, subject to the participation and priority rights of the Company’s preferred stock. As of June 30, 2026 and December 31, 2025, no dividends have been declared or paid.</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Arial" w:hAnsi="Arial"/>
          <w:b/>
          <w:color w:val="000000"/>
          <w:sz w:val="20"/>
        </w:rPr>
      </w:pPr>
      <w:r>
        <w:rPr>
          <w:rFonts w:ascii="Arial" w:hAnsi="Arial"/>
          <w:b/>
          <w:color w:val="000000"/>
          <w:sz w:val="20"/>
        </w:rPr>
        <w:t>11.</w:t>
      </w:r>
    </w:p>
    <w:p>
      <w:pPr>
        <w:pStyle w:val="TextBody"/>
        <w:bidi w:val="0"/>
        <w:spacing w:before="240" w:after="283"/>
        <w:jc w:val="both"/>
        <w:rPr>
          <w:rFonts w:ascii="Arial" w:hAnsi="Arial"/>
          <w:b/>
          <w:color w:val="000000"/>
          <w:sz w:val="20"/>
        </w:rPr>
      </w:pPr>
      <w:r>
        <w:rPr>
          <w:rFonts w:ascii="Arial" w:hAnsi="Arial"/>
          <w:b/>
          <w:color w:val="000000"/>
          <w:sz w:val="20"/>
        </w:rPr>
        <w:t>Warrants</w:t>
      </w:r>
    </w:p>
    <w:p>
      <w:pPr>
        <w:pStyle w:val="TextBody"/>
        <w:bidi w:val="0"/>
        <w:spacing w:before="240" w:after="240"/>
        <w:jc w:val="left"/>
        <w:rPr>
          <w:rFonts w:ascii="Times New Roman" w:hAnsi="Times New Roman"/>
          <w:sz w:val="20"/>
        </w:rPr>
      </w:pPr>
      <w:r>
        <w:rPr>
          <w:rFonts w:ascii="Arial" w:hAnsi="Arial"/>
          <w:color w:val="000000"/>
          <w:sz w:val="20"/>
        </w:rPr>
        <w:t>In connection with entering into a loan and security agreement (“LSA”), the Company issued the LSA Warrant (see Note 5). The LSA Warrant converted into 1,742</w:t>
      </w:r>
      <w:r>
        <w:rPr>
          <w:rFonts w:ascii="Times New Roman" w:hAnsi="Times New Roman"/>
          <w:color w:val="000000"/>
          <w:sz w:val="20"/>
        </w:rPr>
        <w:t xml:space="preserve"> </w:t>
      </w:r>
      <w:r>
        <w:rPr>
          <w:rFonts w:ascii="Arial" w:hAnsi="Arial"/>
          <w:color w:val="000000"/>
          <w:sz w:val="20"/>
        </w:rPr>
        <w:t>warrants to purchase common stock immediately prior to the closing of the IPO. As of June 30, 2026, the right to purchase 1,742</w:t>
      </w:r>
      <w:r>
        <w:rPr>
          <w:rFonts w:ascii="Times New Roman" w:hAnsi="Times New Roman"/>
          <w:color w:val="000000"/>
          <w:sz w:val="20"/>
        </w:rPr>
        <w:t xml:space="preserve"> </w:t>
      </w:r>
      <w:r>
        <w:rPr>
          <w:rFonts w:ascii="Arial" w:hAnsi="Arial"/>
          <w:color w:val="000000"/>
          <w:sz w:val="20"/>
        </w:rPr>
        <w:t>shares of common stock was issued and outstanding.</w:t>
      </w:r>
    </w:p>
    <w:p>
      <w:pPr>
        <w:pStyle w:val="TextBody"/>
        <w:bidi w:val="0"/>
        <w:jc w:val="left"/>
        <w:rPr>
          <w:rFonts w:ascii="Times New Roman" w:hAnsi="Times New Roman"/>
          <w:sz w:val="20"/>
        </w:rPr>
      </w:pPr>
      <w:r>
        <w:rPr>
          <w:rFonts w:ascii="Arial" w:hAnsi="Arial"/>
          <w:color w:val="000000"/>
          <w:sz w:val="20"/>
        </w:rPr>
        <w:t>In connection with entering into the Series D Preferred Stock Purchase Agreement in 2025, the Company issued an aggregate amount of warrants to purchase 4,056,164</w:t>
      </w:r>
      <w:r>
        <w:rPr>
          <w:rFonts w:ascii="Times New Roman" w:hAnsi="Times New Roman"/>
          <w:color w:val="000000"/>
          <w:sz w:val="20"/>
        </w:rPr>
        <w:t xml:space="preserve"> </w:t>
      </w:r>
      <w:r>
        <w:rPr>
          <w:rFonts w:ascii="Arial" w:hAnsi="Arial"/>
          <w:color w:val="000000"/>
          <w:sz w:val="20"/>
        </w:rPr>
        <w:t>shares of the Company’s common stock, each with an exercise price of $0.10</w:t>
      </w:r>
      <w:r>
        <w:rPr>
          <w:rFonts w:ascii="Times New Roman" w:hAnsi="Times New Roman"/>
          <w:color w:val="000000"/>
          <w:sz w:val="20"/>
        </w:rPr>
        <w:t xml:space="preserve"> </w:t>
      </w:r>
      <w:r>
        <w:rPr>
          <w:rFonts w:ascii="Arial" w:hAnsi="Arial"/>
          <w:color w:val="000000"/>
          <w:sz w:val="20"/>
        </w:rPr>
        <w:t>per share (the “Common Warrants”). The Common Warrants were exercisable at any time by the holder and have a seven-year contractual term from their respective dates of issuance. Upon completion of the IPO, the outstanding Common Warrants were automatically net exercised pursuant to their terms and became shares of the Company’s common stock, effective immediately prior to the consummation of the Corporate Transaction. The Company determined that the Common Warrants were equity-classified, and recorded the amounts allocated to the Common Warrants within additional paid</w:t>
        <w:noBreakHyphen/>
        <w:t>in capital on the condensed consolidated balance sheets.</w:t>
      </w:r>
    </w:p>
    <w:p>
      <w:pPr>
        <w:pStyle w:val="TextBody"/>
        <w:bidi w:val="0"/>
        <w:spacing w:before="240" w:after="240"/>
        <w:jc w:val="left"/>
        <w:rPr>
          <w:rFonts w:ascii="Times New Roman" w:hAnsi="Times New Roman"/>
          <w:sz w:val="20"/>
        </w:rPr>
      </w:pPr>
      <w:r>
        <w:rPr>
          <w:rFonts w:ascii="Arial" w:hAnsi="Arial"/>
          <w:color w:val="000000"/>
          <w:sz w:val="20"/>
        </w:rPr>
        <w:t>During the six months ended June 30, 2026, 2,051</w:t>
      </w:r>
      <w:r>
        <w:rPr>
          <w:rFonts w:ascii="Times New Roman" w:hAnsi="Times New Roman"/>
          <w:color w:val="000000"/>
          <w:sz w:val="20"/>
        </w:rPr>
        <w:t xml:space="preserve"> </w:t>
      </w:r>
      <w:r>
        <w:rPr>
          <w:rFonts w:ascii="Arial" w:hAnsi="Arial"/>
          <w:color w:val="000000"/>
          <w:sz w:val="20"/>
        </w:rPr>
        <w:t>Common Warrants were exercised, resulting in the issuance of 2,051</w:t>
      </w:r>
      <w:r>
        <w:rPr>
          <w:rFonts w:ascii="Times New Roman" w:hAnsi="Times New Roman"/>
          <w:color w:val="000000"/>
          <w:sz w:val="20"/>
        </w:rPr>
        <w:t xml:space="preserve"> </w:t>
      </w:r>
      <w:r>
        <w:rPr>
          <w:rFonts w:ascii="Arial" w:hAnsi="Arial"/>
          <w:color w:val="000000"/>
          <w:sz w:val="20"/>
        </w:rPr>
        <w:t>shares of common stock and aggregate proceeds of a de minimis amount. The Company’s outstanding Common Warrants were automatically exercised on a net exercise basis into 3,287,352</w:t>
      </w:r>
      <w:r>
        <w:rPr>
          <w:rFonts w:ascii="Times New Roman" w:hAnsi="Times New Roman"/>
          <w:color w:val="000000"/>
          <w:sz w:val="20"/>
        </w:rPr>
        <w:t xml:space="preserve"> </w:t>
      </w:r>
      <w:r>
        <w:rPr>
          <w:rFonts w:ascii="Arial" w:hAnsi="Arial"/>
          <w:color w:val="000000"/>
          <w:sz w:val="20"/>
        </w:rPr>
        <w:t>shares of common stock immediately prior to the closing of the IPO. As of June 30, 2026, no</w:t>
      </w:r>
      <w:r>
        <w:rPr>
          <w:rFonts w:ascii="Times New Roman" w:hAnsi="Times New Roman"/>
          <w:color w:val="000000"/>
          <w:sz w:val="20"/>
        </w:rPr>
        <w:t xml:space="preserve"> </w:t>
      </w:r>
      <w:r>
        <w:rPr>
          <w:rFonts w:ascii="Arial" w:hAnsi="Arial"/>
          <w:color w:val="000000"/>
          <w:sz w:val="20"/>
        </w:rPr>
        <w:t>Common Warrants remain issued and outstanding.</w:t>
      </w:r>
    </w:p>
    <w:p>
      <w:pPr>
        <w:pStyle w:val="TextBody"/>
        <w:bidi w:val="0"/>
        <w:spacing w:before="0" w:after="0"/>
        <w:jc w:val="left"/>
        <w:rPr>
          <w:rFonts w:ascii="Arial" w:hAnsi="Arial"/>
          <w:b/>
          <w:color w:val="000000"/>
          <w:sz w:val="20"/>
        </w:rPr>
      </w:pPr>
      <w:r>
        <w:rPr>
          <w:rFonts w:ascii="Arial" w:hAnsi="Arial"/>
          <w:b/>
          <w:color w:val="000000"/>
          <w:sz w:val="20"/>
        </w:rPr>
        <w:t>12.</w:t>
      </w:r>
    </w:p>
    <w:p>
      <w:pPr>
        <w:pStyle w:val="TextBody"/>
        <w:bidi w:val="0"/>
        <w:jc w:val="left"/>
        <w:rPr>
          <w:rFonts w:ascii="Arial" w:hAnsi="Arial"/>
          <w:b/>
          <w:color w:val="000000"/>
          <w:sz w:val="20"/>
        </w:rPr>
      </w:pPr>
      <w:r>
        <w:rPr>
          <w:rFonts w:ascii="Arial" w:hAnsi="Arial"/>
          <w:b/>
          <w:color w:val="000000"/>
          <w:sz w:val="20"/>
        </w:rPr>
        <w:t>Stock-Based Compensation</w:t>
      </w:r>
    </w:p>
    <w:p>
      <w:pPr>
        <w:pStyle w:val="Heading2"/>
        <w:bidi w:val="0"/>
        <w:spacing w:before="240" w:after="283"/>
        <w:jc w:val="left"/>
        <w:rPr>
          <w:rFonts w:ascii="Arial" w:hAnsi="Arial"/>
          <w:i/>
          <w:color w:val="000000"/>
          <w:sz w:val="20"/>
        </w:rPr>
      </w:pPr>
      <w:r>
        <w:rPr>
          <w:rFonts w:ascii="Arial" w:hAnsi="Arial"/>
          <w:i/>
          <w:color w:val="000000"/>
          <w:sz w:val="20"/>
        </w:rPr>
        <w:t>Stock Options</w:t>
      </w:r>
    </w:p>
    <w:p>
      <w:pPr>
        <w:pStyle w:val="TextBody"/>
        <w:bidi w:val="0"/>
        <w:spacing w:before="240" w:after="283"/>
        <w:jc w:val="left"/>
        <w:rPr>
          <w:rFonts w:ascii="Times New Roman" w:hAnsi="Times New Roman"/>
          <w:sz w:val="20"/>
        </w:rPr>
      </w:pPr>
      <w:r>
        <w:rPr>
          <w:rFonts w:ascii="Arial" w:hAnsi="Arial"/>
          <w:color w:val="000000"/>
          <w:sz w:val="20"/>
        </w:rPr>
        <w:t>In August 2021, the Company’s Board of Directors adopted the 2021 Equity Incentive Plan (the “2021 Plan”) which provided for the granting of stock appreciation rights, incentive stock options, restricted stock awards, other stock-based awards to eligible employees, officers, directors, consultants, and advisors. The stock options issued under the 2021 Plan expire not more than ten years from their respective grant dates. The 2021 Plan was subsequently amended on various dates through September 2025 to increase the number of shares available for the issuance of awards. As of the effective date of the 2026 Long-Term Incentive Plan (the “2026 Plan”) and as of June 30, 2026, there were no</w:t>
      </w:r>
      <w:r>
        <w:rPr>
          <w:rFonts w:ascii="Times New Roman" w:hAnsi="Times New Roman"/>
          <w:color w:val="000000"/>
          <w:sz w:val="20"/>
        </w:rPr>
        <w:t xml:space="preserve"> </w:t>
      </w:r>
      <w:r>
        <w:rPr>
          <w:rFonts w:ascii="Arial" w:hAnsi="Arial"/>
          <w:color w:val="000000"/>
          <w:sz w:val="20"/>
        </w:rPr>
        <w:t>shares remaining available for future issuance under the 2021 Plan. Any options or other awards outstanding under the 2021 Plan remain outstanding and effective. The remaining shares reserved for issuance under the 2021 Plan ceased to be available for issuance at the time that the 2026 Plan became effective.</w:t>
      </w:r>
    </w:p>
    <w:p>
      <w:pPr>
        <w:pStyle w:val="TextBody"/>
        <w:bidi w:val="0"/>
        <w:spacing w:before="240" w:after="240"/>
        <w:jc w:val="left"/>
        <w:rPr>
          <w:rFonts w:ascii="Times New Roman" w:hAnsi="Times New Roman"/>
          <w:sz w:val="20"/>
        </w:rPr>
      </w:pPr>
      <w:r>
        <w:rPr>
          <w:rFonts w:ascii="Arial" w:hAnsi="Arial"/>
          <w:color w:val="000000"/>
          <w:sz w:val="20"/>
        </w:rPr>
        <w:t>In May 2026, the Company’s Board of Directors adopted the 2026 Plan and the 2026 Employee Stock Purchase Plan (the “ESPP”), which both became effective in connection with the IPO. The 2026 Plan provides for the grant of incentive stock options, nonstatutory stock options, stock appreciation rights, restricted stock, restricted stock units, unrestricted stock, performance-based awards and other stock-based awards or cash incentives to employees, directors and consultants. A total of 6,232,376</w:t>
      </w:r>
      <w:r>
        <w:rPr>
          <w:rFonts w:ascii="Times New Roman" w:hAnsi="Times New Roman"/>
          <w:color w:val="000000"/>
          <w:sz w:val="20"/>
        </w:rPr>
        <w:t xml:space="preserve"> </w:t>
      </w:r>
      <w:r>
        <w:rPr>
          <w:rFonts w:ascii="Arial" w:hAnsi="Arial"/>
          <w:color w:val="000000"/>
          <w:sz w:val="20"/>
        </w:rPr>
        <w:t>shares of the Company’s common stock have been reserved for future issuance under the 2026 Plan, in addition to any automatic increases in the number of shares of common stock reserved for future issuance under the 2026 Plan and any shares underlying outstanding stock awards granted under the 2021 Plan that expire or are repurchased, forfeited, cancelled or withheld. The ESPP reserved a total of 516,400</w:t>
      </w:r>
      <w:r>
        <w:rPr>
          <w:rFonts w:ascii="Times New Roman" w:hAnsi="Times New Roman"/>
          <w:color w:val="000000"/>
          <w:sz w:val="20"/>
        </w:rPr>
        <w:t xml:space="preserve"> </w:t>
      </w:r>
      <w:r>
        <w:rPr>
          <w:rFonts w:ascii="Arial" w:hAnsi="Arial"/>
          <w:color w:val="000000"/>
          <w:sz w:val="20"/>
        </w:rPr>
        <w:t>shares for future issuance of common stock pursuant to purchase rights granted to employees, in addition to any automatic increases in the number of shares of common stock reserved for future issuance under the ESPP.</w:t>
      </w:r>
    </w:p>
    <w:p>
      <w:pPr>
        <w:pStyle w:val="TextBody"/>
        <w:bidi w:val="0"/>
        <w:spacing w:before="0" w:after="240"/>
        <w:jc w:val="left"/>
        <w:rPr>
          <w:rFonts w:ascii="Times New Roman" w:hAnsi="Times New Roman"/>
          <w:sz w:val="20"/>
        </w:rPr>
      </w:pPr>
      <w:r>
        <w:rPr>
          <w:rFonts w:ascii="Arial" w:hAnsi="Arial"/>
          <w:color w:val="000000"/>
          <w:sz w:val="20"/>
        </w:rPr>
        <w:t>Upon the closing of the IPO, the Company granted 3,433,534</w:t>
      </w:r>
      <w:r>
        <w:rPr>
          <w:rFonts w:ascii="Times New Roman" w:hAnsi="Times New Roman"/>
          <w:color w:val="000000"/>
          <w:sz w:val="20"/>
        </w:rPr>
        <w:t xml:space="preserve"> </w:t>
      </w:r>
      <w:r>
        <w:rPr>
          <w:rFonts w:ascii="Arial" w:hAnsi="Arial"/>
          <w:color w:val="000000"/>
          <w:sz w:val="20"/>
        </w:rPr>
        <w:t>stock options to purchase shares of the Company’s common stock under the 2026 Plan to certain employees and directors, with an exercise price equal to the IPO price of $18.00</w:t>
      </w:r>
      <w:r>
        <w:rPr>
          <w:rFonts w:ascii="Times New Roman" w:hAnsi="Times New Roman"/>
          <w:color w:val="000000"/>
          <w:sz w:val="20"/>
        </w:rPr>
        <w:t xml:space="preserve"> </w:t>
      </w:r>
      <w:r>
        <w:rPr>
          <w:rFonts w:ascii="Arial" w:hAnsi="Arial"/>
          <w:color w:val="000000"/>
          <w:sz w:val="20"/>
        </w:rPr>
        <w:t>per share.</w:t>
      </w:r>
    </w:p>
    <w:p>
      <w:pPr>
        <w:pStyle w:val="TextBody"/>
        <w:bidi w:val="0"/>
        <w:jc w:val="left"/>
        <w:rPr>
          <w:rFonts w:ascii="Arial" w:hAnsi="Arial"/>
          <w:color w:val="000000"/>
          <w:sz w:val="20"/>
        </w:rPr>
      </w:pPr>
      <w:r>
        <w:rPr>
          <w:rFonts w:ascii="Arial" w:hAnsi="Arial"/>
          <w:color w:val="000000"/>
          <w:sz w:val="20"/>
        </w:rPr>
        <w:t>The stock options granted under the plans generally vest over four years, with 25% of the award vesting at a one-year cliff with the remaining portion vesting in equal installments over the remaining period, or in equal monthly installments over four years . The stock options granted contain service</w:t>
        <w:noBreakHyphen/>
        <w:t>based vesting conditions and certain stock options granted contain performance</w:t>
        <w:noBreakHyphen/>
        <w:t>based vesting conditions. Awards with a service</w:t>
        <w:noBreakHyphen/>
        <w:t>based component require continued service with the Company over the requisite service period, while vesting for awards with performance</w:t>
        <w:noBreakHyphen/>
        <w:t>based conditions is tied to the achievement of certain research and development milestones.</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The following table summarizes the Company’s stock option activity for the six months ended June 30, 2026:</w:t>
      </w:r>
    </w:p>
    <w:p>
      <w:pPr>
        <w:pStyle w:val="TextBody"/>
        <w:bidi w:val="0"/>
        <w:jc w:val="left"/>
        <w:rPr/>
      </w:pPr>
      <w:r>
        <w:rPr/>
        <w:t> </w:t>
      </w:r>
    </w:p>
    <w:tbl>
      <w:tblPr>
        <w:tblW w:w="9586" w:type="dxa"/>
        <w:jc w:val="left"/>
        <w:tblInd w:w="0" w:type="dxa"/>
        <w:tblLayout w:type="fixed"/>
        <w:tblCellMar>
          <w:top w:w="28" w:type="dxa"/>
          <w:left w:w="28" w:type="dxa"/>
          <w:bottom w:w="28" w:type="dxa"/>
          <w:right w:w="28" w:type="dxa"/>
        </w:tblCellMar>
      </w:tblPr>
      <w:tblGrid>
        <w:gridCol w:w="3121"/>
        <w:gridCol w:w="146"/>
        <w:gridCol w:w="188"/>
        <w:gridCol w:w="1237"/>
        <w:gridCol w:w="166"/>
        <w:gridCol w:w="146"/>
        <w:gridCol w:w="258"/>
        <w:gridCol w:w="718"/>
        <w:gridCol w:w="146"/>
        <w:gridCol w:w="146"/>
        <w:gridCol w:w="348"/>
        <w:gridCol w:w="1152"/>
        <w:gridCol w:w="146"/>
        <w:gridCol w:w="146"/>
        <w:gridCol w:w="245"/>
        <w:gridCol w:w="806"/>
        <w:gridCol w:w="47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w:t>
              <w:br/>
              <w:t>Intrinsic</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4,631,713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3,594,062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7,856,756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65,368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24,249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In December 2025, 166,550</w:t>
      </w:r>
      <w:r>
        <w:rPr>
          <w:rFonts w:ascii="Times New Roman" w:hAnsi="Times New Roman"/>
          <w:color w:val="000000"/>
          <w:sz w:val="20"/>
        </w:rPr>
        <w:t xml:space="preserve"> </w:t>
      </w:r>
      <w:r>
        <w:rPr>
          <w:rFonts w:ascii="Arial" w:hAnsi="Arial"/>
          <w:color w:val="000000"/>
          <w:sz w:val="20"/>
        </w:rPr>
        <w:t>stock options to purchase shares of the Company’s common stock were early exercised pursuant to approval by the Company’s Board of Directors. The unvested common stock purchased pursuant to the early exercise of stock options are not deemed, for accounting purposes, to be outstanding until those shares vest according to their respective terms.</w:t>
      </w:r>
    </w:p>
    <w:p>
      <w:pPr>
        <w:pStyle w:val="TextBody"/>
        <w:bidi w:val="0"/>
        <w:jc w:val="left"/>
        <w:rPr>
          <w:rFonts w:ascii="Arial" w:hAnsi="Arial"/>
          <w:color w:val="000000"/>
          <w:sz w:val="20"/>
        </w:rPr>
      </w:pPr>
      <w:r>
        <w:rPr>
          <w:rFonts w:ascii="Arial" w:hAnsi="Arial"/>
          <w:color w:val="000000"/>
          <w:sz w:val="20"/>
        </w:rPr>
        <w:t>The following table presents, on a weighted-average basis, the assumptions used in the Black Scholes option-pricing model to determine the grant date fair value of the stock options granted during the six months ended June 30, 2026:</w:t>
      </w:r>
    </w:p>
    <w:p>
      <w:pPr>
        <w:pStyle w:val="TextBody"/>
        <w:bidi w:val="0"/>
        <w:jc w:val="left"/>
        <w:rPr/>
      </w:pPr>
      <w:r>
        <w:rPr/>
        <w:t> </w:t>
      </w:r>
    </w:p>
    <w:tbl>
      <w:tblPr>
        <w:tblW w:w="3930" w:type="dxa"/>
        <w:jc w:val="left"/>
        <w:tblInd w:w="0" w:type="dxa"/>
        <w:tblLayout w:type="fixed"/>
        <w:tblCellMar>
          <w:top w:w="28" w:type="dxa"/>
          <w:left w:w="28" w:type="dxa"/>
          <w:bottom w:w="28" w:type="dxa"/>
          <w:right w:w="28" w:type="dxa"/>
        </w:tblCellMar>
      </w:tblPr>
      <w:tblGrid>
        <w:gridCol w:w="2551"/>
        <w:gridCol w:w="146"/>
        <w:gridCol w:w="211"/>
        <w:gridCol w:w="691"/>
        <w:gridCol w:w="33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stock options granted during the six months ended June 30, 2025. The weighted average grant-date fair value of stock options granted during the six months ended June 30, 2026 was $14.15</w:t>
      </w:r>
      <w:r>
        <w:rPr>
          <w:rFonts w:ascii="Times New Roman" w:hAnsi="Times New Roman"/>
          <w:color w:val="000000"/>
          <w:sz w:val="20"/>
        </w:rPr>
        <w:t xml:space="preserve"> </w:t>
      </w:r>
      <w:r>
        <w:rPr>
          <w:rFonts w:ascii="Arial" w:hAnsi="Arial"/>
          <w:color w:val="000000"/>
          <w:sz w:val="20"/>
        </w:rPr>
        <w:t>per option. 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was $0.3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$0.1</w:t>
      </w:r>
      <w:r>
        <w:rPr>
          <w:rFonts w:ascii="Times New Roman" w:hAnsi="Times New Roman"/>
          <w:color w:val="000000"/>
          <w:sz w:val="20"/>
        </w:rPr>
        <w:t xml:space="preserve"> </w:t>
      </w:r>
      <w:r>
        <w:rPr>
          <w:rFonts w:ascii="Arial" w:hAnsi="Arial"/>
          <w:color w:val="000000"/>
          <w:sz w:val="20"/>
        </w:rPr>
        <w:t>million during the six months ended June 30, 2026 and 2025, respectively.</w:t>
      </w:r>
    </w:p>
    <w:p>
      <w:pPr>
        <w:pStyle w:val="Heading2"/>
        <w:bidi w:val="0"/>
        <w:spacing w:before="240" w:after="283"/>
        <w:jc w:val="left"/>
        <w:rPr>
          <w:rFonts w:ascii="Arial" w:hAnsi="Arial"/>
          <w:i/>
          <w:color w:val="000000"/>
          <w:sz w:val="20"/>
        </w:rPr>
      </w:pPr>
      <w:r>
        <w:rPr>
          <w:rFonts w:ascii="Arial" w:hAnsi="Arial"/>
          <w:i/>
          <w:color w:val="000000"/>
          <w:sz w:val="20"/>
        </w:rPr>
        <w:t>Restricted Stock</w:t>
      </w:r>
    </w:p>
    <w:p>
      <w:pPr>
        <w:pStyle w:val="TextBody"/>
        <w:bidi w:val="0"/>
        <w:spacing w:before="240" w:after="283"/>
        <w:jc w:val="left"/>
        <w:rPr>
          <w:rFonts w:ascii="Arial" w:hAnsi="Arial"/>
          <w:color w:val="000000"/>
          <w:sz w:val="20"/>
        </w:rPr>
      </w:pPr>
      <w:r>
        <w:rPr>
          <w:rFonts w:ascii="Arial" w:hAnsi="Arial"/>
          <w:color w:val="000000"/>
          <w:sz w:val="20"/>
        </w:rPr>
        <w:t>The summary of restricted stock award activity for the six months ended June 30, 2026, is as follows:</w:t>
      </w:r>
    </w:p>
    <w:p>
      <w:pPr>
        <w:pStyle w:val="TextBody"/>
        <w:bidi w:val="0"/>
        <w:jc w:val="left"/>
        <w:rPr/>
      </w:pPr>
      <w:r>
        <w:rPr/>
        <w:t> </w:t>
      </w:r>
    </w:p>
    <w:tbl>
      <w:tblPr>
        <w:tblW w:w="5985" w:type="dxa"/>
        <w:jc w:val="left"/>
        <w:tblInd w:w="0" w:type="dxa"/>
        <w:tblLayout w:type="fixed"/>
        <w:tblCellMar>
          <w:top w:w="28" w:type="dxa"/>
          <w:left w:w="28" w:type="dxa"/>
          <w:bottom w:w="28" w:type="dxa"/>
          <w:right w:w="28" w:type="dxa"/>
        </w:tblCellMar>
      </w:tblPr>
      <w:tblGrid>
        <w:gridCol w:w="2896"/>
        <w:gridCol w:w="146"/>
        <w:gridCol w:w="167"/>
        <w:gridCol w:w="913"/>
        <w:gridCol w:w="166"/>
        <w:gridCol w:w="146"/>
        <w:gridCol w:w="285"/>
        <w:gridCol w:w="795"/>
        <w:gridCol w:w="47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Grant Date</w:t>
              <w:b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recorded stock compensation expense of $0.2</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related to the restricted stock awards during the three and six months ended June 30, 2026, respectively. The Company recorded stock compensation expense of a de minimis amount related to the restricted stock awards during the three and six months ended June 30, 2025.</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The total unrecognized stock-based compensation expense will be adjusted for actual forfeitures as they occur. As of June 30, 2026, total unrecognized compensation costs related to unvested stock options and restricted stock awards was $67.4</w:t>
      </w:r>
      <w:r>
        <w:rPr>
          <w:rFonts w:ascii="Times New Roman" w:hAnsi="Times New Roman"/>
          <w:color w:val="000000"/>
          <w:sz w:val="20"/>
        </w:rPr>
        <w:t xml:space="preserve"> </w:t>
      </w:r>
      <w:r>
        <w:rPr>
          <w:rFonts w:ascii="Arial" w:hAnsi="Arial"/>
          <w:color w:val="000000"/>
          <w:sz w:val="20"/>
        </w:rPr>
        <w:t>million, which is expected to be recognized over the remaining weighted average period of approximately 3.03</w:t>
      </w:r>
      <w:r>
        <w:rPr>
          <w:rFonts w:ascii="Times New Roman" w:hAnsi="Times New Roman"/>
          <w:color w:val="000000"/>
          <w:sz w:val="20"/>
        </w:rPr>
        <w:t xml:space="preserve"> </w:t>
      </w:r>
      <w:r>
        <w:rPr>
          <w:rFonts w:ascii="Arial" w:hAnsi="Arial"/>
          <w:color w:val="000000"/>
          <w:sz w:val="20"/>
        </w:rPr>
        <w:t>years.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stock-based compensation expense included in operating expenses for the periods presented:</w:t>
      </w:r>
    </w:p>
    <w:p>
      <w:pPr>
        <w:pStyle w:val="TextBody"/>
        <w:bidi w:val="0"/>
        <w:jc w:val="both"/>
        <w:rPr/>
      </w:pPr>
      <w:r>
        <w:rPr/>
        <w:t> </w:t>
      </w:r>
    </w:p>
    <w:tbl>
      <w:tblPr>
        <w:tblW w:w="8654" w:type="dxa"/>
        <w:jc w:val="left"/>
        <w:tblInd w:w="0" w:type="dxa"/>
        <w:tblLayout w:type="fixed"/>
        <w:tblCellMar>
          <w:top w:w="28" w:type="dxa"/>
          <w:left w:w="28" w:type="dxa"/>
          <w:bottom w:w="28" w:type="dxa"/>
          <w:right w:w="28" w:type="dxa"/>
        </w:tblCellMar>
      </w:tblPr>
      <w:tblGrid>
        <w:gridCol w:w="2491"/>
        <w:gridCol w:w="146"/>
        <w:gridCol w:w="322"/>
        <w:gridCol w:w="895"/>
        <w:gridCol w:w="223"/>
        <w:gridCol w:w="223"/>
        <w:gridCol w:w="322"/>
        <w:gridCol w:w="895"/>
        <w:gridCol w:w="146"/>
        <w:gridCol w:w="146"/>
        <w:gridCol w:w="297"/>
        <w:gridCol w:w="825"/>
        <w:gridCol w:w="205"/>
        <w:gridCol w:w="205"/>
        <w:gridCol w:w="297"/>
        <w:gridCol w:w="825"/>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5,671</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8,258</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13.</w:t>
      </w:r>
    </w:p>
    <w:p>
      <w:pPr>
        <w:pStyle w:val="TextBody"/>
        <w:bidi w:val="0"/>
        <w:jc w:val="left"/>
        <w:rPr>
          <w:rFonts w:ascii="Arial" w:hAnsi="Arial"/>
          <w:b/>
          <w:color w:val="000000"/>
          <w:sz w:val="20"/>
        </w:rPr>
      </w:pPr>
      <w:r>
        <w:rPr>
          <w:rFonts w:ascii="Arial" w:hAnsi="Arial"/>
          <w:b/>
          <w:color w:val="000000"/>
          <w:sz w:val="20"/>
        </w:rPr>
        <w:t>Commitments and Contingencies</w:t>
      </w:r>
    </w:p>
    <w:p>
      <w:pPr>
        <w:pStyle w:val="TextBody"/>
        <w:bidi w:val="0"/>
        <w:spacing w:before="240" w:after="283"/>
        <w:jc w:val="left"/>
        <w:rPr>
          <w:rFonts w:ascii="Arial" w:hAnsi="Arial"/>
          <w:b/>
          <w:i/>
          <w:color w:val="000000"/>
          <w:sz w:val="20"/>
        </w:rPr>
      </w:pPr>
      <w:r>
        <w:rPr>
          <w:rFonts w:ascii="Arial" w:hAnsi="Arial"/>
          <w:b/>
          <w:i/>
          <w:color w:val="000000"/>
          <w:sz w:val="20"/>
        </w:rPr>
        <w:t>Contingent Consideration</w:t>
      </w:r>
    </w:p>
    <w:p>
      <w:pPr>
        <w:pStyle w:val="TextBody"/>
        <w:bidi w:val="0"/>
        <w:spacing w:before="240" w:after="283"/>
        <w:jc w:val="left"/>
        <w:rPr>
          <w:rFonts w:ascii="Arial" w:hAnsi="Arial"/>
          <w:color w:val="000000"/>
          <w:sz w:val="20"/>
        </w:rPr>
      </w:pPr>
      <w:r>
        <w:rPr>
          <w:rFonts w:ascii="Arial" w:hAnsi="Arial"/>
          <w:color w:val="000000"/>
          <w:sz w:val="20"/>
        </w:rPr>
        <w:t>In connection with the IFM acquisition, the Company is required to make future payments to the shareholders of IFM based on the occurrence of certain development, commercial, regulatory and sales milestones (see Note 5).</w:t>
      </w:r>
    </w:p>
    <w:p>
      <w:pPr>
        <w:pStyle w:val="TextBody"/>
        <w:bidi w:val="0"/>
        <w:spacing w:before="240" w:after="283"/>
        <w:jc w:val="left"/>
        <w:rPr>
          <w:rFonts w:ascii="Times New Roman" w:hAnsi="Times New Roman"/>
          <w:sz w:val="20"/>
        </w:rPr>
      </w:pPr>
      <w:r>
        <w:rPr>
          <w:rFonts w:ascii="Arial" w:hAnsi="Arial"/>
          <w:color w:val="000000"/>
          <w:sz w:val="20"/>
        </w:rPr>
        <w:t>In connection with the Rahko acquisition, the Company has a contingent payment obligation to the shareholders of Rahko upon the occurrence of certain qualifying events. No qualifying event has occurred as of June 30, 2026 (see Note 5).</w:t>
      </w:r>
      <w:r>
        <w:rPr>
          <w:rFonts w:ascii="Times New Roman" w:hAnsi="Times New Roman"/>
          <w:color w:val="000000"/>
          <w:sz w:val="20"/>
        </w:rPr>
        <w:t xml:space="preserve"> </w:t>
      </w:r>
    </w:p>
    <w:p>
      <w:pPr>
        <w:pStyle w:val="Heading2"/>
        <w:bidi w:val="0"/>
        <w:spacing w:before="240" w:after="283"/>
        <w:jc w:val="left"/>
        <w:rPr>
          <w:rFonts w:ascii="Arial" w:hAnsi="Arial"/>
          <w:i/>
          <w:color w:val="000000"/>
          <w:sz w:val="20"/>
        </w:rPr>
      </w:pPr>
      <w:r>
        <w:rPr>
          <w:rFonts w:ascii="Arial" w:hAnsi="Arial"/>
          <w:i/>
          <w:color w:val="000000"/>
          <w:sz w:val="20"/>
        </w:rPr>
        <w:t>Legal Proceedings</w:t>
      </w:r>
    </w:p>
    <w:p>
      <w:pPr>
        <w:pStyle w:val="TextBody"/>
        <w:bidi w:val="0"/>
        <w:spacing w:before="240" w:after="283"/>
        <w:jc w:val="left"/>
        <w:rPr>
          <w:rFonts w:ascii="Arial" w:hAnsi="Arial"/>
          <w:color w:val="000000"/>
          <w:sz w:val="20"/>
        </w:rPr>
      </w:pPr>
      <w:r>
        <w:rPr>
          <w:rFonts w:ascii="Arial" w:hAnsi="Arial"/>
          <w:color w:val="000000"/>
          <w:sz w:val="20"/>
        </w:rPr>
        <w:t>The Company is not currently a party to any material legal proceedings. At each reporting date, the Company evaluates whether a potential loss or a potential range of loss is probable and reasonably estimable under the provisions of the authoritative guidance that addresses accounting for contingencies. The Company expenses the costs related to its legal proceedings as incurred.</w:t>
      </w:r>
    </w:p>
    <w:p>
      <w:pPr>
        <w:pStyle w:val="TextBody"/>
        <w:bidi w:val="0"/>
        <w:spacing w:before="240" w:after="283"/>
        <w:jc w:val="left"/>
        <w:rPr>
          <w:rFonts w:ascii="Arial" w:hAnsi="Arial"/>
          <w:b/>
          <w:color w:val="000000"/>
          <w:sz w:val="20"/>
        </w:rPr>
      </w:pPr>
      <w:r>
        <w:rPr>
          <w:rFonts w:ascii="Arial" w:hAnsi="Arial"/>
          <w:b/>
          <w:color w:val="000000"/>
          <w:sz w:val="20"/>
        </w:rPr>
        <w:t>14.</w:t>
      </w:r>
    </w:p>
    <w:p>
      <w:pPr>
        <w:pStyle w:val="TextBody"/>
        <w:bidi w:val="0"/>
        <w:spacing w:before="240" w:after="283"/>
        <w:jc w:val="left"/>
        <w:rPr>
          <w:rFonts w:ascii="Arial" w:hAnsi="Arial"/>
          <w:b/>
          <w:color w:val="000000"/>
          <w:sz w:val="20"/>
        </w:rPr>
      </w:pPr>
      <w:r>
        <w:rPr>
          <w:rFonts w:ascii="Arial" w:hAnsi="Arial"/>
          <w:b/>
          <w:color w:val="000000"/>
          <w:sz w:val="20"/>
        </w:rPr>
        <w:t>401(k) Savings Plan</w:t>
      </w:r>
    </w:p>
    <w:p>
      <w:pPr>
        <w:pStyle w:val="TextBody"/>
        <w:bidi w:val="0"/>
        <w:spacing w:before="240" w:after="283"/>
        <w:jc w:val="left"/>
        <w:rPr>
          <w:rFonts w:ascii="Arial" w:hAnsi="Arial"/>
          <w:color w:val="000000"/>
          <w:sz w:val="20"/>
        </w:rPr>
      </w:pPr>
      <w:r>
        <w:rPr>
          <w:rFonts w:ascii="Arial" w:hAnsi="Arial"/>
          <w:color w:val="000000"/>
          <w:sz w:val="20"/>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000000"/>
          <w:sz w:val="20"/>
        </w:rPr>
      </w:pPr>
      <w:r>
        <w:rPr>
          <w:rFonts w:ascii="Arial" w:hAnsi="Arial"/>
          <w:b/>
          <w:color w:val="000000"/>
          <w:sz w:val="20"/>
        </w:rPr>
        <w:t>15.</w:t>
      </w:r>
    </w:p>
    <w:p>
      <w:pPr>
        <w:pStyle w:val="TextBody"/>
        <w:bidi w:val="0"/>
        <w:spacing w:before="240" w:after="283"/>
        <w:jc w:val="left"/>
        <w:rPr>
          <w:rFonts w:ascii="Arial" w:hAnsi="Arial"/>
          <w:b/>
          <w:color w:val="000000"/>
          <w:sz w:val="20"/>
        </w:rPr>
      </w:pPr>
      <w:r>
        <w:rPr>
          <w:rFonts w:ascii="Arial" w:hAnsi="Arial"/>
          <w:b/>
          <w:color w:val="000000"/>
          <w:sz w:val="20"/>
        </w:rPr>
        <w:t>Net Loss Per Share</w:t>
      </w:r>
    </w:p>
    <w:p>
      <w:pPr>
        <w:pStyle w:val="TextBody"/>
        <w:bidi w:val="0"/>
        <w:spacing w:before="240" w:after="283"/>
        <w:jc w:val="left"/>
        <w:rPr>
          <w:rFonts w:ascii="Times New Roman" w:hAnsi="Times New Roman"/>
          <w:sz w:val="20"/>
        </w:rPr>
      </w:pPr>
      <w:r>
        <w:rPr>
          <w:rFonts w:ascii="Arial" w:hAnsi="Arial"/>
          <w:color w:val="000000"/>
          <w:sz w:val="20"/>
        </w:rPr>
        <w:t>The following table sets forth the computation of the Company’s basic and diluted net loss per share attributable to common stockholders for the periods presented:</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8"/>
        <w:gridCol w:w="212"/>
        <w:gridCol w:w="1074"/>
        <w:gridCol w:w="167"/>
        <w:gridCol w:w="147"/>
        <w:gridCol w:w="212"/>
        <w:gridCol w:w="968"/>
        <w:gridCol w:w="446"/>
        <w:gridCol w:w="426"/>
        <w:gridCol w:w="211"/>
        <w:gridCol w:w="1066"/>
        <w:gridCol w:w="166"/>
        <w:gridCol w:w="146"/>
        <w:gridCol w:w="211"/>
        <w:gridCol w:w="961"/>
        <w:gridCol w:w="474"/>
      </w:tblGrid>
      <w:tr>
        <w:trPr/>
        <w:tc>
          <w:tcPr>
            <w:tcW w:w="33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(52,788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(79,670</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(52,788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(41,235</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(79,670</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278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Weighted-average number of common shares used in computing net loss, basic and diluted per share—basic and diluted </w:t>
            </w:r>
            <w:r>
              <w:rPr>
                <w:rFonts w:ascii="Arial" w:hAnsi="Arial"/>
                <w:color w:val="000000"/>
                <w:sz w:val="13"/>
              </w:rPr>
              <w:t>(1)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30,277,051</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1,395,695</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18,034,399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1,187,080</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stockholders—basic and diluted</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(29.54</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(67.11</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Times New Roman" w:hAnsi="Times New Roman"/>
          <w:sz w:val="20"/>
        </w:rPr>
      </w:pPr>
      <w:r>
        <w:rPr>
          <w:rFonts w:ascii="Arial" w:hAnsi="Arial"/>
          <w:color w:val="000000"/>
          <w:sz w:val="13"/>
        </w:rPr>
        <w:t xml:space="preserve">(1) </w:t>
      </w:r>
      <w:r>
        <w:rPr>
          <w:rFonts w:ascii="Arial" w:hAnsi="Arial"/>
          <w:color w:val="000000"/>
          <w:sz w:val="20"/>
        </w:rPr>
        <w:t>The weighted-average number of common shares used in computing net loss basic and diluted per share for the three and six months ended June 30, 2025</w:t>
      </w:r>
      <w:r>
        <w:rPr>
          <w:rFonts w:ascii="Times New Roman" w:hAnsi="Times New Roman"/>
          <w:color w:val="000000"/>
          <w:sz w:val="20"/>
        </w:rPr>
        <w:t xml:space="preserve"> </w:t>
      </w:r>
      <w:r>
        <w:rPr>
          <w:rFonts w:ascii="Arial" w:hAnsi="Arial"/>
          <w:color w:val="000000"/>
          <w:sz w:val="20"/>
        </w:rPr>
        <w:t>includes 4,056,164</w:t>
      </w:r>
      <w:r>
        <w:rPr>
          <w:rFonts w:ascii="Times New Roman" w:hAnsi="Times New Roman"/>
          <w:color w:val="000000"/>
          <w:sz w:val="20"/>
        </w:rPr>
        <w:t xml:space="preserve"> </w:t>
      </w:r>
      <w:r>
        <w:rPr>
          <w:rFonts w:ascii="Arial" w:hAnsi="Arial"/>
          <w:color w:val="000000"/>
          <w:sz w:val="20"/>
        </w:rPr>
        <w:t>shares of common stock underlying Common Warrants issued as part of the Series D preferred stock financing during 2025.</w:t>
      </w:r>
    </w:p>
    <w:p>
      <w:pPr>
        <w:pStyle w:val="TextBody"/>
        <w:bidi w:val="0"/>
        <w:spacing w:before="240" w:after="283"/>
        <w:jc w:val="left"/>
        <w:rPr>
          <w:rFonts w:ascii="Arial" w:hAnsi="Arial"/>
          <w:color w:val="000000"/>
          <w:sz w:val="20"/>
        </w:rPr>
      </w:pPr>
      <w:r>
        <w:rPr>
          <w:rFonts w:ascii="Arial" w:hAnsi="Arial"/>
          <w:color w:val="000000"/>
          <w:sz w:val="20"/>
        </w:rPr>
        <w:t>The following outstanding potentially dilutive securities have been excluded from the calculation of diluted net loss per share attributable to common stockholders, as their effect is antidilutive: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06"/>
        <w:gridCol w:w="155"/>
        <w:gridCol w:w="1022"/>
        <w:gridCol w:w="155"/>
        <w:gridCol w:w="155"/>
        <w:gridCol w:w="155"/>
        <w:gridCol w:w="1134"/>
        <w:gridCol w:w="146"/>
        <w:gridCol w:w="146"/>
        <w:gridCol w:w="147"/>
        <w:gridCol w:w="970"/>
        <w:gridCol w:w="147"/>
        <w:gridCol w:w="147"/>
        <w:gridCol w:w="147"/>
        <w:gridCol w:w="1077"/>
        <w:gridCol w:w="196"/>
      </w:tblGrid>
      <w:tr>
        <w:trPr/>
        <w:tc>
          <w:tcPr>
            <w:tcW w:w="43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7,856,756</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2,291,377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7,856,756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2,291,377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awards</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140,068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convertible preferred stock (as converted to common stock)</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3,091,478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3,091,478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A-1 convertible preferred stock (as converted to common stock)</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804,893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A-2 convertible preferred stock (as converted to common stock)</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836,190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convertible preferred stock (as converted to common stock)</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2,865,387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2,865,387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C convertible preferred stock (as converted to common stock)</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2,412,468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2,412,468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C-1 convertible preferred stock (as converted to common stock)</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D convertible preferred stock (as converted to common stock)</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79,518,143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79,518,143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A-2 warrants (as converted to common stock)</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warrants (as converted to common stock)</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1,742</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1,742</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7,998,566</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91,971,889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7,998,566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91,971,889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Arial" w:hAnsi="Arial"/>
          <w:b/>
          <w:color w:val="000000"/>
          <w:sz w:val="20"/>
        </w:rPr>
      </w:pPr>
      <w:r>
        <w:rPr>
          <w:rFonts w:ascii="Arial" w:hAnsi="Arial"/>
          <w:b/>
          <w:color w:val="000000"/>
          <w:sz w:val="20"/>
        </w:rPr>
        <w:t>16.</w:t>
      </w:r>
    </w:p>
    <w:p>
      <w:pPr>
        <w:pStyle w:val="TextBody"/>
        <w:bidi w:val="0"/>
        <w:spacing w:before="40" w:after="283"/>
        <w:jc w:val="left"/>
        <w:rPr>
          <w:rFonts w:ascii="Arial" w:hAnsi="Arial"/>
          <w:b/>
          <w:color w:val="000000"/>
          <w:sz w:val="20"/>
        </w:rPr>
      </w:pPr>
      <w:r>
        <w:rPr>
          <w:rFonts w:ascii="Arial" w:hAnsi="Arial"/>
          <w:b/>
          <w:color w:val="000000"/>
          <w:sz w:val="20"/>
        </w:rPr>
        <w:t>Segment Information</w:t>
      </w:r>
    </w:p>
    <w:p>
      <w:pPr>
        <w:pStyle w:val="TextBody"/>
        <w:bidi w:val="0"/>
        <w:spacing w:before="24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segment and one</w:t>
      </w:r>
      <w:r>
        <w:rPr>
          <w:rFonts w:ascii="Times New Roman" w:hAnsi="Times New Roman"/>
          <w:color w:val="000000"/>
          <w:sz w:val="20"/>
        </w:rPr>
        <w:t xml:space="preserve"> </w:t>
      </w:r>
      <w:r>
        <w:rPr>
          <w:rFonts w:ascii="Arial" w:hAnsi="Arial"/>
          <w:color w:val="000000"/>
          <w:sz w:val="20"/>
        </w:rPr>
        <w:t>operating segment, which is focused on the standard of care for patients suffering from autoimmune and inflammatory diseases. The chief operating decision maker (“CODM”) manages the Company’s operations on a consolidated basis, assesses performance for the operating segment and decides how to allocate resources based on consolidated net loss, which is reported on the condensed consolidated statements of operations and comprehensive loss.</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The CODM uses consolidated net loss to evaluate the Company’s spend and monitor budget versus actual results. The monitoring of budgeted versus actual results is used in assessing the performance of the operating segment and in establishing resource allocation across the organization.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condensed consolidated financial statements.</w:t>
      </w:r>
    </w:p>
    <w:p>
      <w:pPr>
        <w:pStyle w:val="TextBody"/>
        <w:bidi w:val="0"/>
        <w:spacing w:before="240" w:after="283"/>
        <w:jc w:val="left"/>
        <w:rPr>
          <w:rFonts w:ascii="Arial" w:hAnsi="Arial"/>
          <w:color w:val="000000"/>
          <w:sz w:val="20"/>
        </w:rPr>
      </w:pPr>
      <w:r>
        <w:rPr>
          <w:rFonts w:ascii="Arial" w:hAnsi="Arial"/>
          <w:color w:val="000000"/>
          <w:sz w:val="20"/>
        </w:rPr>
        <w:t>The measure of segment assets is reported on the condensed consolidated balance sheets as total assets. The following table presents certain financial data for the Company’s reportable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25"/>
        <w:gridCol w:w="146"/>
        <w:gridCol w:w="245"/>
        <w:gridCol w:w="802"/>
        <w:gridCol w:w="169"/>
        <w:gridCol w:w="169"/>
        <w:gridCol w:w="245"/>
        <w:gridCol w:w="802"/>
        <w:gridCol w:w="146"/>
        <w:gridCol w:w="146"/>
        <w:gridCol w:w="235"/>
        <w:gridCol w:w="770"/>
        <w:gridCol w:w="162"/>
        <w:gridCol w:w="162"/>
        <w:gridCol w:w="235"/>
        <w:gridCol w:w="770"/>
        <w:gridCol w:w="476"/>
      </w:tblGrid>
      <w:tr>
        <w:trPr/>
        <w:tc>
          <w:tcPr>
            <w:tcW w:w="4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Research and development expenses associated with preclinical and clinical studies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22,941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42,548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33,213</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Facilities and related expenses, excluding depreciation and amortization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11,287</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General and corporate expenses </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10,277</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26,175</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segment items </w:t>
            </w:r>
            <w:r>
              <w:rPr>
                <w:rFonts w:ascii="Arial" w:hAnsi="Arial"/>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15,162</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1,595</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52,788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91,050</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79,670</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3"/>
        </w:rPr>
        <w:t xml:space="preserve">(1) </w:t>
      </w:r>
      <w:r>
        <w:rPr>
          <w:rFonts w:ascii="Arial" w:hAnsi="Arial"/>
          <w:color w:val="000000"/>
          <w:sz w:val="20"/>
        </w:rPr>
        <w:t>Research and development expenses associated with preclinical and clinical studies includes research software, professional services and laboratory operations supporting the Company’s research and development programs.</w:t>
      </w:r>
    </w:p>
    <w:p>
      <w:pPr>
        <w:pStyle w:val="TextBody"/>
        <w:bidi w:val="0"/>
        <w:spacing w:before="120" w:after="283"/>
        <w:jc w:val="left"/>
        <w:rPr>
          <w:rFonts w:ascii="Times New Roman" w:hAnsi="Times New Roman"/>
          <w:sz w:val="20"/>
        </w:rPr>
      </w:pPr>
      <w:r>
        <w:rPr>
          <w:rFonts w:ascii="Arial" w:hAnsi="Arial"/>
          <w:color w:val="000000"/>
          <w:sz w:val="13"/>
        </w:rPr>
        <w:t xml:space="preserve">(2) </w:t>
      </w:r>
      <w:r>
        <w:rPr>
          <w:rFonts w:ascii="Arial" w:hAnsi="Arial"/>
          <w:color w:val="000000"/>
          <w:sz w:val="20"/>
        </w:rPr>
        <w:t>Facilities and related expenses includes rent, common area maintenance costs, repairs and maintenance, utilities and real estate taxes.</w:t>
      </w:r>
    </w:p>
    <w:p>
      <w:pPr>
        <w:pStyle w:val="TextBody"/>
        <w:bidi w:val="0"/>
        <w:spacing w:before="120" w:after="283"/>
        <w:jc w:val="left"/>
        <w:rPr>
          <w:rFonts w:ascii="Times New Roman" w:hAnsi="Times New Roman"/>
          <w:sz w:val="20"/>
        </w:rPr>
      </w:pPr>
      <w:r>
        <w:rPr>
          <w:rFonts w:ascii="Arial" w:hAnsi="Arial"/>
          <w:color w:val="000000"/>
          <w:sz w:val="13"/>
        </w:rPr>
        <w:t>(3)</w:t>
      </w:r>
      <w:r>
        <w:rPr>
          <w:rFonts w:ascii="Times New Roman" w:hAnsi="Times New Roman"/>
          <w:color w:val="000000"/>
          <w:sz w:val="20"/>
        </w:rPr>
        <w:t xml:space="preserve"> </w:t>
      </w:r>
      <w:r>
        <w:rPr>
          <w:rFonts w:ascii="Arial" w:hAnsi="Arial"/>
          <w:color w:val="000000"/>
          <w:sz w:val="20"/>
        </w:rPr>
        <w:t>General and corporate expenses include general and administrative costs associated with professional and consulting fees and other overhead costs.</w:t>
      </w:r>
    </w:p>
    <w:p>
      <w:pPr>
        <w:pStyle w:val="TextBody"/>
        <w:bidi w:val="0"/>
        <w:spacing w:before="120" w:after="283"/>
        <w:jc w:val="left"/>
        <w:rPr>
          <w:rFonts w:ascii="Times New Roman" w:hAnsi="Times New Roman"/>
          <w:sz w:val="20"/>
        </w:rPr>
      </w:pPr>
      <w:r>
        <w:rPr>
          <w:rFonts w:ascii="Arial" w:hAnsi="Arial"/>
          <w:color w:val="000000"/>
          <w:sz w:val="13"/>
        </w:rPr>
        <w:t>(4)</w:t>
      </w:r>
      <w:r>
        <w:rPr>
          <w:rFonts w:ascii="Times New Roman" w:hAnsi="Times New Roman"/>
          <w:color w:val="000000"/>
          <w:sz w:val="20"/>
        </w:rPr>
        <w:t xml:space="preserve"> </w:t>
      </w:r>
      <w:r>
        <w:rPr>
          <w:rFonts w:ascii="Arial" w:hAnsi="Arial"/>
          <w:color w:val="000000"/>
          <w:sz w:val="20"/>
        </w:rPr>
        <w:t>For the three and six months ended June 30, 2026 and 2025, other segment items consist of interest income, stock-based compensation expense, depreciation and amortization expense, change in fair value of contingent consideration expense, income tax (benefit) provision and other (income) expense, net. Interest income consists of interest income earned on cash equivalents and marketable securities. Interest expense consists of interest expense on finance leases. Other (income) expense, net primarily consists of realized and unrealized gains and losses on marketable securities.</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000000"/>
          <w:sz w:val="20"/>
        </w:rPr>
      </w:pPr>
      <w:bookmarkStart w:id="9" w:name="mda"/>
      <w:bookmarkEnd w:id="9"/>
      <w:r>
        <w:rPr>
          <w:rFonts w:ascii="Arial" w:hAnsi="Arial"/>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sz w:val="20"/>
        </w:rPr>
      </w:pPr>
      <w:r>
        <w:rPr>
          <w:rFonts w:ascii="Arial" w:hAnsi="Arial"/>
          <w:i/>
          <w:color w:val="000000"/>
          <w:sz w:val="20"/>
        </w:rPr>
        <w:t>You should read the following discussion and analysis of our financial condition and results of operations together with our unaudited condensed consolidated financial statements and the related notes included elsewhere in this Quarterly Report and our audited consolidated financial statements and related notes included in our final prospectus for our initial public offering, or our IPO, filed with the SEC pursuant to Rule 424(b)(4) under the Securities Act of 1933, as amended, or the Securities Act, on May 8, 2026, or the IPO Prospectus. This discussion and other parts of this Quarterly Report contain forward-looking statements that are based upon current beliefs, plans and expectations related to future events and our future financial performance that involve risks, assumptions and uncertainties, such as statements of our plans, objectives, expectations, intentions, forecasts and projections. Our actual results and the timing of selected events could differ materially from those discussed in these forward-looking statements as a result of several factors, including, but not limited to those set forth under the section of this Quarterly Report titled “Risk Factors” and elsewhere in this Quarterly Report. You should carefully read the section of this Quarterly Report titled “Risk Factors” to gain an understanding of the important factors that could cause actual results to differ materially from our forward-looking statements. Please also see the section of this Quarterly Report titled “Special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Odyssey is a clinical-stage biopharmaceutical company led by a team and board of drug hunters seeking to transform the standard of care for patients suffering from autoimmune and inflammatory diseases. We believe our deep understanding of immunobiology, coupled with leading expertise in medicinal and computational chemistry, protein biochemistry, structural biology, genetics, and pharmacology, allows us to identify and drug key signaling nodes that drive disease. We have prioritized targets where we believe the underlying disease biology is understood through genetic, clinical, or translational evidence.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Our most advanced programs include OD-001, an oral small-molecule scaffolding inhibitor of receptor-interacting protein kinase 2, or RIPK2, and OD-002, an oral small-molecule inhibitor of solute carrier family 15 member 4, or SLC15A4. OD-001 has achieved proof-of-concept in a phase 2a trial for the treatment of ulcerative colitis, or UC, one of the two main types of inflammatory bowel disease, or IBD, and OD-002 is currently in IND-enabling studies. These programs have the potential to yield treatments for inflammatory and autoimmune diseases that have large, addressable patient populations globally and a lack of effective treatments, including IBD, systemic lupus erythematosus, and other disorders characterized either by the chronic overactivation of the type I interferon pathway, referred to as interferonopathies, or by pathogenic autoreactive B cells. In addition to our most advanced programs, we have a portfolio of wholly owned preclinical programs that include, but are not limited to, a regulatory T cells-specific tumor necrosis factor receptor 2 agonist, a bispecific antagonist of thymic stromal lymphopoietin and interleukin-33, and an interleukin-1 receptor-associated kinase 4 scaffolding inhibitor. We also have an interferon regulatory factor 5, or IRF5, inhibitor in preclinical development which we are collaborating on with Terray Therapeutics, Inc., or Terray.</w:t>
      </w:r>
    </w:p>
    <w:p>
      <w:pPr>
        <w:pStyle w:val="TextBody"/>
        <w:bidi w:val="0"/>
        <w:spacing w:before="240" w:after="283"/>
        <w:jc w:val="left"/>
        <w:rPr>
          <w:rFonts w:ascii="Times New Roman" w:hAnsi="Times New Roman"/>
          <w:sz w:val="20"/>
        </w:rPr>
      </w:pPr>
      <w:r>
        <w:rPr>
          <w:rFonts w:ascii="Arial" w:hAnsi="Arial"/>
          <w:color w:val="000000"/>
          <w:sz w:val="20"/>
        </w:rPr>
        <w:t>Since our inception in 2021, we have devoted substantially all of our resources to business planning, research and development activities, recruiting management and technical staff, raising capital, producing materials for preclinical studies and clinical trials, developing and establishing our intellectual property portfolio, entering into and performing under collaboration agreements, acquiring companies or assets to further our development programs and building infrastructure to support these activities. We do not have any products approved for sale and have not generated any revenue from product sales.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incurred significant operating losses and negative cash flows since our inception. Our net loss was $91.1 million and $79.7 million for the six months ended June 30, 2026 and 2025, respectively. As of June 30, 2026, we had an accumulated deficit of $659.2 million and cash, cash equivalents, and marketable securities of $433.1 million. Since our inception, we have financed our operations primarily through the sale of shares of our convertible preferred stock, the proceeds from research collaborations and license agreements, and through the sale of our common stock as part of our IPO and concurrent private placement completed in May 2026.</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Based on our current operating plan, we estimate that our existing cash, cash equivalents and marketable securities as of June 30, 2026 will be sufficient to fund our operating expenses and capital expenditures into the second half of 2028. We have based this estimate and our forecast of cash resources and planned operations on our current assumptions, which may prove to be wrong, and we may exhaust our available capital resources sooner than we expect. Additional funds will be necessary to maintain our current operations and to continue our research and development activities.</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and commercialize any such products. Because of the numerous risks and uncertainties associated with product development, we may never achieve profitability, and, unless we do, and until then, we will need to continue to raise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expect our expenses will increase substantially in connection with our ongoing and planned activities,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to progress the development of our product candidates, including our two most advanced programs: OD-001 and OD-002;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and expand the manufacturing of preclinical and clinical supply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regulatory approvals for any of our current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 sales, marketing, manufacturing and distribution infrastructure to commercialize any product candidates for which we may obtain marketing approval,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attract, hire and retain qualified clinical, scientific, operations and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 and maintain operational, financial and information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protect, maintain, enforce and expand our rights in our intellectual property portfolio or acquire or in-license intellectual property and technologies from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experience any delays in our preclinical studies or clinical trials and regulatory approval for our product candidates, including as a result of macroeconomic conditions, geopolitical conflicts or other factors;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additional legal, accounting or other expenses in operating our business, including the costs associated with operating as a public company. </w:t>
      </w:r>
    </w:p>
    <w:p>
      <w:pPr>
        <w:pStyle w:val="TextBody"/>
        <w:bidi w:val="0"/>
        <w:spacing w:before="240" w:after="283"/>
        <w:jc w:val="left"/>
        <w:rPr>
          <w:rFonts w:ascii="Times New Roman" w:hAnsi="Times New Roman"/>
          <w:sz w:val="20"/>
        </w:rPr>
      </w:pPr>
      <w:r>
        <w:rPr>
          <w:rFonts w:ascii="Arial" w:hAnsi="Arial"/>
          <w:color w:val="000000"/>
          <w:sz w:val="20"/>
        </w:rPr>
        <w:t>We do not currently own or operate any manufacturing facilities. We rely on third-party contract manufacturing organizations, or CMOs, to produce our drug candidates in accordance with the U.S. Food and Drug Administration’s, or the FDA, current good manufacturing practices, or cGMPs, for use in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 See the subsection titled “–</w:t>
      </w:r>
      <w:r>
        <w:rPr>
          <w:rFonts w:ascii="Arial" w:hAnsi="Arial"/>
          <w:i/>
          <w:color w:val="000000"/>
          <w:sz w:val="20"/>
        </w:rPr>
        <w:t>Liquidity and Capital Resources</w:t>
      </w:r>
      <w:r>
        <w:rPr>
          <w:rFonts w:ascii="Times New Roman" w:hAnsi="Times New Roman"/>
          <w:color w:val="000000"/>
          <w:sz w:val="20"/>
        </w:rPr>
        <w:t xml:space="preserve">” </w:t>
      </w:r>
      <w:r>
        <w:rPr>
          <w:rFonts w:ascii="Arial" w:hAnsi="Arial"/>
          <w:color w:val="000000"/>
          <w:sz w:val="20"/>
        </w:rPr>
        <w:t>below for additional discussion of our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Components of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Collaboration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not generated any revenue from product sales, and we do not expect to generate any revenue from the sale of products for the foreseeable future, if ever. Our ability to generate product revenues will depend on the successful development and eventual commercialization of any product candidates that we identify. If we fail to complete the development of any of our current or future product candidates in a timely manner or fail to obtain regulatory approval for those product candidates, our ability to generate future revenue and our business, results of operations, financial condition and prospects would be materially adversely affected.</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did not have any revenue for the three and six months ended June 30, 2026. For the three and six months ended June 30, 2025 our revenue consisted of collaboration revenue earned under the Material Transfer and Evaluation Agreement, dated December 20, 2022, or the Pfizer MTA, with Pfizer Inc., or Pfizer, which expired by its terms in 2025, and revenue earned under the Strategic Collaboration, Option and License Agreement, dated March 29, 2024, or the J&amp;J Agreement, with Janssen Pharmaceutica NV, a Johnson &amp; Johnson company, or J&amp;J. For additional information about our revenue recognition policy related to our collaboration agreements, refer to Note 4 to our unaudited condensed consolidated financial statements included elsewhere in this Quarterly Report.</w:t>
      </w:r>
    </w:p>
    <w:p>
      <w:pPr>
        <w:pStyle w:val="TextBody"/>
        <w:bidi w:val="0"/>
        <w:spacing w:before="240" w:after="283"/>
        <w:jc w:val="left"/>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operating expenses consist of (i) research and development expenses, (ii) general and administrative expenses and (iii) change in fair value of contingent consideration.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largest component of our total operating expenses since our inception has been research and development activities, including costs incurred relating to discovery efforts and the preclinical and clinical development of our product candidates. Research and development expenses consist primarily of internal personnel-related expenses, such as compensation and benefits for research and development employees, including stock-based compensation; external expenses associated with preclinical studies and clinical trials, including costs incurred under agreements with contract research organizations, or CROs, investigative sites that conduct preclinical studies and clinical trials, payments under licensing and research and development agreements and other outside services and consulting costs; costs of acquiring and manufacturing clinical trial materials and other supplies; software and information technology, or IT, costs; and allocated facility-related costs, such as rent, utilities and depreciation. Research and development costs are expensed as incurred.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do not disaggregate external expenses associated with our preclinical studies from those associated with our clinical trials, because many of these external expenses relate to both preclinical studies and clinical trials across our development programs. We also do not allocate employee-related costs, laboratory supplies, and facilities, including other internal costs, to specific product candidates, because these costs are associated with multiple programs and, as such, are not separately classified. We use internal resources primarily for managing our product development, manufacturing and clinical development activities. We deploy our personnel across all of our research and development activities as our employees work across multiple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development projects or if, when and to what extent we will generate revenue from the commercialization and sale of our product candidates,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General and administrative expenses consist primarily of payroll and personnel-related expenses, including salaries, employee benefit costs, travel and business expenses and stock-based compensation expense for our general and administrative personnel; professional fees for legal, consulting, accounting and tax services; software and IT costs; allocated overhead, including allocated facility-related costs, including rent, utilities and depreciation; and other general operating expenses not otherwise classified as 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anticipate that our general and administrative expenses will continue increasing, as a result of increased personnel costs, including salaries, benefits and stock-based compensation expense, patent costs for our product candidates, expanded infrastructure and higher legal, consulting and accounting services associated with maintaining compliance with the listing requirements of the Nasdaq Stock Market LLC, or Nasdaq, and rules and regulations promulgated under the Securities Exchange Act of 1934, as amended, or the Exchange Act, investor relations costs and director and officer insurance premiums associated with being a public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Changes in fair value of contingent consideration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Expenses associated with changes in fair value of contingent consideration are driven by changes in the assumptions used by management in estimating the fair value of future payments that may be made by us to the previous members of IFM Discovery, LLC, or IFM, as a result of our acquisition of IFM in 2022, and Rahko Limited, or Rahko, as a result of our acquisition of Rahko in 2021.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For additional information about the changes in fair value of contingent consideration, refer to Note 5 to our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Interest income consists primarily of interest generated on our interest-bearing cash and cash equivalent accounts and accretion of discounts and amortization of premiums related to our marketable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Interest expense consists primarily of interest on our finance leases for certain lab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Other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Other expense, net consists primarily of realized and unrealized foreign currency transaction losses.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Income tax provision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Income tax provision consists of U.S. state and foreign taxes in jurisdictions in which we conduct business. Since our inception, we have not recorded any income tax benefits for the net losses we have incurred or for our earned research and development tax credits, as we believe, based upon the weight of available evidence, that it is more likely than not that not all of our net operating loss carryforwards and tax credits will be realized. As of June 30, 2026, we have recorded a full valuation allowance against our net deferred tax assets.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Comparison of the Three Months Ended June 30, 2026 and 2025</w:t>
      </w:r>
    </w:p>
    <w:p>
      <w:pPr>
        <w:pStyle w:val="TextBody"/>
        <w:bidi w:val="0"/>
        <w:spacing w:before="240" w:after="283"/>
        <w:jc w:val="left"/>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spacing w:before="240" w:after="283"/>
        <w:jc w:val="left"/>
        <w:rPr/>
      </w:pPr>
      <w:r>
        <w:rPr/>
        <w:t> </w:t>
      </w:r>
    </w:p>
    <w:tbl>
      <w:tblPr>
        <w:tblW w:w="9169" w:type="dxa"/>
        <w:jc w:val="left"/>
        <w:tblInd w:w="0" w:type="dxa"/>
        <w:tblLayout w:type="fixed"/>
        <w:tblCellMar>
          <w:top w:w="28" w:type="dxa"/>
          <w:left w:w="28" w:type="dxa"/>
          <w:bottom w:w="28" w:type="dxa"/>
          <w:right w:w="28" w:type="dxa"/>
        </w:tblCellMar>
      </w:tblPr>
      <w:tblGrid>
        <w:gridCol w:w="4386"/>
        <w:gridCol w:w="243"/>
        <w:gridCol w:w="866"/>
        <w:gridCol w:w="330"/>
        <w:gridCol w:w="330"/>
        <w:gridCol w:w="243"/>
        <w:gridCol w:w="866"/>
        <w:gridCol w:w="306"/>
        <w:gridCol w:w="286"/>
        <w:gridCol w:w="211"/>
        <w:gridCol w:w="751"/>
        <w:gridCol w:w="351"/>
      </w:tblGrid>
      <w:tr>
        <w:trPr/>
        <w:tc>
          <w:tcPr>
            <w:tcW w:w="43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Collaboration revenue</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36,226</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30,227</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5,999</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10,511</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13,219</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Change in fair value of contingent consideration</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8,733</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9,299</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55,470</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42,880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loss</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(55,470</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(41,921</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(13,549</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income</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2,832</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expense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income (expense), net</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net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2,674</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(52,796</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(41,205</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(11,591</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(benefit) provision</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(52,788</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(41,235</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(11,553</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Collaboration Revenue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Collaboration revenue decreased by $1.0 million, from $1.0 million for the three months ended June 30, 2025 compared to zero for the three months ended June 30, 2026. The decrease is related to the Company fulfilling all of its current obligations under the J&amp;J Agreement and the expiration of the Pfizer MTA during the year ended December 31, 2025.</w:t>
      </w:r>
    </w:p>
    <w:p>
      <w:pPr>
        <w:pStyle w:val="TextBody"/>
        <w:bidi w:val="0"/>
        <w:spacing w:before="2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following table summarizes our research and development expenses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47"/>
        <w:gridCol w:w="281"/>
        <w:gridCol w:w="922"/>
        <w:gridCol w:w="194"/>
        <w:gridCol w:w="194"/>
        <w:gridCol w:w="281"/>
        <w:gridCol w:w="922"/>
        <w:gridCol w:w="146"/>
        <w:gridCol w:w="146"/>
        <w:gridCol w:w="211"/>
        <w:gridCol w:w="646"/>
        <w:gridCol w:w="215"/>
      </w:tblGrid>
      <w:tr>
        <w:trPr/>
        <w:tc>
          <w:tcPr>
            <w:tcW w:w="60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 personnel-related expenses (including stock-based compensation)</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9,560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expenses associated with preclinical and clinical studies</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software, professional services and laboratory operations</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Facility-related costs (including depreciation)</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36,226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5,999</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increased by $6.0 million, from $30.2 million for three months ended June 30, 2025 to $36.2 million for the three months ended June 30, 2026. This increase was primarily attributable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$6.2 million increase in external expenses associated with preclinical and clinical studies, primarily due to an increase in CRO expenses and chemistry, manufacturing, and controls activities primarily associated with our ongoing OD-001 phase 2a monotherapy trial;</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$0.5 million increase in research software, professional services and laboratory operations, primarily due to the increase in research reagents to support increased level of research activity across the discovery and toxicology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$0.3 million increase in facility-related costs, primarily due to disposal of fixed assets.</w:t>
      </w:r>
    </w:p>
    <w:p>
      <w:pPr>
        <w:pStyle w:val="TextBody"/>
        <w:bidi w:val="0"/>
        <w:spacing w:before="120" w:after="283"/>
        <w:jc w:val="left"/>
        <w:rPr>
          <w:rFonts w:ascii="Arial" w:hAnsi="Arial"/>
          <w:color w:val="000000"/>
          <w:sz w:val="20"/>
        </w:rPr>
      </w:pPr>
      <w:r>
        <w:rPr>
          <w:rFonts w:ascii="Arial" w:hAnsi="Arial"/>
          <w:color w:val="000000"/>
          <w:sz w:val="20"/>
        </w:rPr>
        <w:t>These increases were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$1.1 million decrease in internal personnel-related expenses, primarily due to a lower headcount.</w:t>
      </w:r>
    </w:p>
    <w:p>
      <w:pPr>
        <w:pStyle w:val="TextBody"/>
        <w:bidi w:val="0"/>
        <w:spacing w:before="240" w:after="283"/>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following table summarizes our general and administrative expenses for the periods presented:</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085"/>
        <w:gridCol w:w="278"/>
        <w:gridCol w:w="909"/>
        <w:gridCol w:w="191"/>
        <w:gridCol w:w="191"/>
        <w:gridCol w:w="278"/>
        <w:gridCol w:w="909"/>
        <w:gridCol w:w="146"/>
        <w:gridCol w:w="146"/>
        <w:gridCol w:w="211"/>
        <w:gridCol w:w="646"/>
        <w:gridCol w:w="215"/>
      </w:tblGrid>
      <w:tr>
        <w:trPr/>
        <w:tc>
          <w:tcPr>
            <w:tcW w:w="60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personnel-related expenses (including stock-based compensation)</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and consulting fees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Software and IT costs</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Facility-related costs (including depreciation)</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general and administrative expenses</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general and administrative expenses</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General and administrative expenses decreased by $2.7 million, from $13.2 million during the three months ended June 30, 2025 to $10.5 million for the three months ended June 30, 2026. This decrease was primarily attributable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$4.0 million decrease in professional and consulting fees due to lower legal and accounting fees.</w:t>
      </w:r>
    </w:p>
    <w:p>
      <w:pPr>
        <w:pStyle w:val="TextBody"/>
        <w:bidi w:val="0"/>
        <w:spacing w:before="120" w:after="283"/>
        <w:jc w:val="left"/>
        <w:rPr>
          <w:rFonts w:ascii="Arial" w:hAnsi="Arial"/>
          <w:color w:val="000000"/>
          <w:sz w:val="20"/>
        </w:rPr>
      </w:pPr>
      <w:r>
        <w:rPr>
          <w:rFonts w:ascii="Arial" w:hAnsi="Arial"/>
          <w:color w:val="000000"/>
          <w:sz w:val="20"/>
        </w:rPr>
        <w:t>This decrease was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$1.2 million increase in payroll and personnel-related expenses, primarily due to increased stock-based compensation from awards granted upon the IPO;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$0.1 million increase in other general and administrative expenses due to additional corporate insurance expenses.</w:t>
      </w:r>
    </w:p>
    <w:p>
      <w:pPr>
        <w:pStyle w:val="TextBody"/>
        <w:bidi w:val="0"/>
        <w:spacing w:before="240" w:after="283"/>
        <w:jc w:val="left"/>
        <w:rPr>
          <w:rFonts w:ascii="Times New Roman" w:hAnsi="Times New Roman"/>
          <w:sz w:val="20"/>
        </w:rPr>
      </w:pPr>
      <w:r>
        <w:rPr>
          <w:rFonts w:ascii="Arial" w:hAnsi="Arial"/>
          <w:i/>
          <w:color w:val="000000"/>
          <w:sz w:val="20"/>
        </w:rPr>
        <w:t>Changes in fair value of contingent consideration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change in the fair value of contingent consideration resulted in expense of $8.7 million for the three months ended June 30, 2026, compared to income of $0.6 million for the three months ended June 30, 2025. The change was driven by updates to the assumptions used in estimating the fair value of the Rahko contingent consideration following the completion of our IPO in May 2026.</w:t>
      </w:r>
    </w:p>
    <w:p>
      <w:pPr>
        <w:pStyle w:val="TextBody"/>
        <w:bidi w:val="0"/>
        <w:spacing w:before="24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Interest income increased by $1.9 million from $0.9 million for the three months ended June 30, 2025 to $2.8 million for the three months ended June 30, 2026. The increase is primarily attributed to additional cash invested in marketable securities and interest-bearing accounts during the first half of 2026, given the proceeds received from our IPO.</w:t>
      </w:r>
    </w:p>
    <w:p>
      <w:pPr>
        <w:pStyle w:val="TextBody"/>
        <w:bidi w:val="0"/>
        <w:spacing w:before="24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Interest expense did not significantly fluctuate during the three months ended June 30, 2026 as compared to the three months ended June 30, 2025, and is attributable to interest on our finance leases for certain lab equipment.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Other income (expense), net decreased by $0.1 million from expense of $0.2 million during the three months ended June 30, 2025 compared to expense of $0.1 million during the three months ended June 30, 2026. The decrease primarily relates to fluctuations in foreign currency gains and losses.</w:t>
      </w:r>
    </w:p>
    <w:p>
      <w:pPr>
        <w:pStyle w:val="TextBody"/>
        <w:bidi w:val="0"/>
        <w:spacing w:before="240" w:after="283"/>
        <w:jc w:val="left"/>
        <w:rPr>
          <w:rFonts w:ascii="Times New Roman" w:hAnsi="Times New Roman"/>
          <w:sz w:val="20"/>
        </w:rPr>
      </w:pPr>
      <w:r>
        <w:rPr>
          <w:rFonts w:ascii="Arial" w:hAnsi="Arial"/>
          <w:i/>
          <w:color w:val="000000"/>
          <w:sz w:val="20"/>
        </w:rPr>
        <w:t>Income tax (benefit) provision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Income tax (benefit) provision did not significantly fluctuate during the three months ended June 30, 2026 as compared to the three months ended June 30, 2025.</w:t>
      </w:r>
    </w:p>
    <w:p>
      <w:pPr>
        <w:pStyle w:val="TextBody"/>
        <w:bidi w:val="0"/>
        <w:jc w:val="left"/>
        <w:rPr/>
      </w:pPr>
      <w:r>
        <w:rPr/>
        <w:t> </w:t>
      </w:r>
    </w:p>
    <w:p>
      <w:pPr>
        <w:pStyle w:val="TextBody"/>
        <w:bidi w:val="0"/>
        <w:spacing w:before="240" w:after="283"/>
        <w:jc w:val="left"/>
        <w:rPr>
          <w:rFonts w:ascii="Arial" w:hAnsi="Arial"/>
          <w:b/>
          <w:i/>
          <w:color w:val="000000"/>
          <w:sz w:val="20"/>
        </w:rPr>
      </w:pPr>
      <w:r>
        <w:rPr>
          <w:rFonts w:ascii="Arial" w:hAnsi="Arial"/>
          <w:b/>
          <w:i/>
          <w:color w:val="000000"/>
          <w:sz w:val="20"/>
        </w:rPr>
        <w:t>Comparison of the Six Months Ended June 30, 2026 and 2025</w:t>
      </w:r>
    </w:p>
    <w:p>
      <w:pPr>
        <w:pStyle w:val="TextBody"/>
        <w:bidi w:val="0"/>
        <w:spacing w:before="240" w:after="283"/>
        <w:jc w:val="left"/>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left"/>
        <w:rPr/>
      </w:pPr>
      <w:r>
        <w:rPr/>
        <w:t> </w:t>
      </w:r>
    </w:p>
    <w:tbl>
      <w:tblPr>
        <w:tblW w:w="8945" w:type="dxa"/>
        <w:jc w:val="left"/>
        <w:tblInd w:w="0" w:type="dxa"/>
        <w:tblLayout w:type="fixed"/>
        <w:tblCellMar>
          <w:top w:w="28" w:type="dxa"/>
          <w:left w:w="28" w:type="dxa"/>
          <w:bottom w:w="28" w:type="dxa"/>
          <w:right w:w="28" w:type="dxa"/>
        </w:tblCellMar>
      </w:tblPr>
      <w:tblGrid>
        <w:gridCol w:w="4386"/>
        <w:gridCol w:w="224"/>
        <w:gridCol w:w="799"/>
        <w:gridCol w:w="304"/>
        <w:gridCol w:w="304"/>
        <w:gridCol w:w="224"/>
        <w:gridCol w:w="799"/>
        <w:gridCol w:w="306"/>
        <w:gridCol w:w="286"/>
        <w:gridCol w:w="211"/>
        <w:gridCol w:w="751"/>
        <w:gridCol w:w="351"/>
      </w:tblGrid>
      <w:tr>
        <w:trPr/>
        <w:tc>
          <w:tcPr>
            <w:tcW w:w="43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Collaboration revenue</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68,547</w:t>
            </w:r>
          </w:p>
        </w:tc>
        <w:tc>
          <w:tcPr>
            <w:tcW w:w="30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69,001</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17,861</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21,171</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Change in fair value of contingent consideration</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8,842</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(6,214</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15,056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95,250</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83,958</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11,292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loss</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(95,250</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(81,081</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(14,169</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income</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expense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income (expense), net</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net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(90,995</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(79,500</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(11,495</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(91,050</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(79,670</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Collaboration Revenue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Collaboration revenue decreased by $2.9 million, from $2.9 million for the six months ended June 30, 2025 compared to zero for the six months ended June 30, 2026. The decrease is related to the Company fulfilling all of its current obligations under the J&amp;J Agreement and the expiration of the Pfizer MTA during the year ended December 31, 2025.</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following table summarizes our research and development expenses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7"/>
        <w:gridCol w:w="263"/>
        <w:gridCol w:w="862"/>
        <w:gridCol w:w="182"/>
        <w:gridCol w:w="182"/>
        <w:gridCol w:w="263"/>
        <w:gridCol w:w="862"/>
        <w:gridCol w:w="146"/>
        <w:gridCol w:w="146"/>
        <w:gridCol w:w="211"/>
        <w:gridCol w:w="646"/>
        <w:gridCol w:w="215"/>
      </w:tblGrid>
      <w:tr>
        <w:trPr/>
        <w:tc>
          <w:tcPr>
            <w:tcW w:w="622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 personnel-related expenses (including stock-based compensation)</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18,682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expenses associated with preclinical and clinical studies</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software, professional services and laboratory operations</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Facility-related costs (including depreciation)</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68,547</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decreased by $0.5 million, from $69.0 million for the six months ended June 30, 2025 to $68.5 million for the six months ended June 30, 2026. This decrease was primarily attributable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$6.0 million decrease in facility related costs primarily related to an impairment of our San Diego lease right-of-use asset in the first quarter of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$3.8 million decrease in internal personnel-related expenses, primarily attributable to a lower headcount. </w:t>
      </w:r>
    </w:p>
    <w:p>
      <w:pPr>
        <w:pStyle w:val="TextBody"/>
        <w:bidi w:val="0"/>
        <w:spacing w:before="120" w:after="283"/>
        <w:jc w:val="left"/>
        <w:rPr>
          <w:rFonts w:ascii="Arial" w:hAnsi="Arial"/>
          <w:color w:val="000000"/>
          <w:sz w:val="20"/>
        </w:rPr>
      </w:pPr>
      <w:r>
        <w:rPr>
          <w:rFonts w:ascii="Arial" w:hAnsi="Arial"/>
          <w:color w:val="000000"/>
          <w:sz w:val="20"/>
        </w:rPr>
        <w:t>These decreases were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$9.3 million increase in external expenses associated with preclinical and clinical studies, primarily due to an increase in CRO expenses and chemistry, manufacturing, and controls activities primarily associated with our ongoing OD-001 phase 2a monotherapy trial.</w:t>
      </w:r>
    </w:p>
    <w:p>
      <w:pPr>
        <w:pStyle w:val="TextBody"/>
        <w:bidi w:val="0"/>
        <w:spacing w:before="240" w:after="283"/>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following table summarizes our general and administrative expenses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7"/>
        <w:gridCol w:w="260"/>
        <w:gridCol w:w="853"/>
        <w:gridCol w:w="180"/>
        <w:gridCol w:w="180"/>
        <w:gridCol w:w="260"/>
        <w:gridCol w:w="853"/>
        <w:gridCol w:w="146"/>
        <w:gridCol w:w="146"/>
        <w:gridCol w:w="211"/>
        <w:gridCol w:w="646"/>
        <w:gridCol w:w="213"/>
      </w:tblGrid>
      <w:tr>
        <w:trPr/>
        <w:tc>
          <w:tcPr>
            <w:tcW w:w="6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personnel-related expenses (including stock-based compensation)</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11,064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and consulting fees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Software and IT costs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Facility-related costs (including depreciation)</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general and administrative expenses</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general and administrative expenses</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17,861</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General and administrative expenses decreased by $3.3 million, from $21.2 million during the six months ended June 30, 2025 to $17.9 million for the six months ended June 30, 2026. This decrease was primarily attributable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$4.0 million decrease in professional and consulting fees due to lower legal and accounting fees;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$0.1 million decrease in facility-related costs due to higher fixed asset disposals in the first half of 2025;</w:t>
      </w:r>
    </w:p>
    <w:p>
      <w:pPr>
        <w:pStyle w:val="TextBody"/>
        <w:bidi w:val="0"/>
        <w:spacing w:before="120" w:after="283"/>
        <w:jc w:val="left"/>
        <w:rPr>
          <w:rFonts w:ascii="Arial" w:hAnsi="Arial"/>
          <w:color w:val="000000"/>
          <w:sz w:val="20"/>
        </w:rPr>
      </w:pPr>
      <w:r>
        <w:rPr>
          <w:rFonts w:ascii="Arial" w:hAnsi="Arial"/>
          <w:color w:val="000000"/>
          <w:sz w:val="20"/>
        </w:rPr>
        <w:t>These decreases were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$0.7 million increase in payroll and personnel-related expenses, primarily due to increased stock-based compensation from awards granted upon the IPO;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$0.1 million increase in other general and administrative expenses due to additional corporate insurance expenses.</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i/>
          <w:color w:val="000000"/>
          <w:sz w:val="20"/>
        </w:rPr>
        <w:t>Changes in fair value of contingent consideration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change in the fair value of contingent consideration resulted in expense of $8.8 million for the six months ended June 30, 2026, compared to income of $6.2 million for the six months ended June 30, 2025. The change was driven by updates to the assumptions management used in estimating the fair value of the Rahko contingent consideration following the completion of our IPO in May 2026.</w:t>
      </w:r>
    </w:p>
    <w:p>
      <w:pPr>
        <w:pStyle w:val="TextBody"/>
        <w:bidi w:val="0"/>
        <w:spacing w:before="24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Interest income increased by $2.5 million from $2.0 million for the six months ended June 30, 2025 to $4.5 million for the six months ended June 30, 2026. The increase is primarily attributed to additional cash invested in marketable securities and interest-bearing accounts during the first half of 2026, reflecting proceeds received from the Series D convertible preferred stock financing completed in the second half of 2025 and our IPO in May 2026.</w:t>
      </w:r>
    </w:p>
    <w:p>
      <w:pPr>
        <w:pStyle w:val="TextBody"/>
        <w:bidi w:val="0"/>
        <w:spacing w:before="24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Interest expense did not significantly fluctuate during the six months ended June 30, 2026 as compared to the six months ended June 30, 2025, and is attributable to interest on our finance leases for certain lab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Other income (expense), net decreased by $0.1 million from expense of $0.4 million during the six months ended June 30, 2025 compared to expense of $0.3 million during the six months ended June 30, 2026. The decrease primarily relates to fluctuations in foreign currency gains and losses.</w:t>
      </w:r>
    </w:p>
    <w:p>
      <w:pPr>
        <w:pStyle w:val="TextBody"/>
        <w:bidi w:val="0"/>
        <w:spacing w:before="240" w:after="283"/>
        <w:jc w:val="left"/>
        <w:rPr>
          <w:rFonts w:ascii="Times New Roman" w:hAnsi="Times New Roman"/>
          <w:sz w:val="20"/>
        </w:rPr>
      </w:pPr>
      <w:r>
        <w:rPr>
          <w:rFonts w:ascii="Arial" w:hAnsi="Arial"/>
          <w:i/>
          <w:color w:val="000000"/>
          <w:sz w:val="20"/>
        </w:rPr>
        <w:t>Income tax provision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Income tax provision did not significantly fluctuate during the six months ended June 30, 2026 as compared to the six months ended June 30, 2025.</w:t>
      </w:r>
    </w:p>
    <w:p>
      <w:pPr>
        <w:pStyle w:val="TextBody"/>
        <w:bidi w:val="0"/>
        <w:spacing w:before="24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240" w:after="283"/>
        <w:jc w:val="left"/>
        <w:rPr>
          <w:rFonts w:ascii="Times New Roman" w:hAnsi="Times New Roman"/>
          <w:sz w:val="20"/>
        </w:rPr>
      </w:pPr>
      <w:r>
        <w:rPr>
          <w:rFonts w:ascii="Arial" w:hAnsi="Arial"/>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Since our inception, we have primarily funded our operations through the sale of shares of our convertible preferred stock, the proceeds from research collaborations and license agreements and through the sale of our common stock in our IPO and concurrent private placement completed in May 2026. We have not generated any revenue from product sales and have incurred significant annual operating losses and negative cash flows from our operations. We expect to incur significant expenses and operating losses in the foreseeable future as we advance the development of our product candidates. As of June 30, 2026, we had $433.1 million in cash, cash equivalents and marketable securities and an accumulated deficit of $659.2 million.</w:t>
      </w:r>
      <w:r>
        <w:rPr>
          <w:rFonts w:ascii="Times New Roman" w:hAnsi="Times New Roman"/>
          <w:color w:val="000000"/>
          <w:sz w:val="20"/>
        </w:rPr>
        <w:t xml:space="preserve"> </w:t>
      </w:r>
    </w:p>
    <w:p>
      <w:pPr>
        <w:pStyle w:val="TextBody"/>
        <w:bidi w:val="0"/>
        <w:spacing w:before="240" w:after="240"/>
        <w:jc w:val="left"/>
        <w:rPr>
          <w:rFonts w:ascii="Arial" w:hAnsi="Arial"/>
          <w:color w:val="000000"/>
          <w:sz w:val="20"/>
        </w:rPr>
      </w:pPr>
      <w:r>
        <w:rPr>
          <w:rFonts w:ascii="Arial" w:hAnsi="Arial"/>
          <w:color w:val="000000"/>
          <w:sz w:val="20"/>
        </w:rPr>
        <w:t>Prior to the completion of our IPO and concurrent private placement in May 2026, we raised aggregate gross proceeds of approximately $726.5 million from the sale of our securities. In May 2026, we raised aggregate net proceeds of $278.2 million upon completion of our IPO and concurrent private placement, after deducting underwriter discounts and commissions, placement agent fees and other estimated offering expenses. Additionally, in June 2026, we raised aggregate net proceeds of $10.0 million upon the sale of our common stock pursuant to the underwriters' exercise of their option to purchase shares, after deducting underwriter discounts and commissions.</w:t>
      </w:r>
    </w:p>
    <w:p>
      <w:pPr>
        <w:pStyle w:val="TextBody"/>
        <w:bidi w:val="0"/>
        <w:jc w:val="left"/>
        <w:rPr>
          <w:rFonts w:ascii="Times New Roman" w:hAnsi="Times New Roman"/>
          <w:sz w:val="20"/>
        </w:rPr>
      </w:pPr>
      <w:r>
        <w:rPr>
          <w:rFonts w:ascii="Arial" w:hAnsi="Arial"/>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of June 30, 2026, we had cash and cash equivalents, and marketable securities of $433.1 million. Based upon our current operating plans, we believe that the net proceeds from our IPO and concurrent private placement completed in May 2026, together with our cash, cash equivalents and investments as of June 30, 2026, will be sufficient to fund our operations into the second half of 2028. We have based this estimate on assumptions that may prove to be wrong, and we could exhaust our available capital resources sooner than we expect.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anticipate that we will continue to incur significant and increasing expenses for the foreseeable future as we continue to advance our product candidates, expand our corporate infrastructure, including the costs associated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with being a public company, further our research and development initiatives for our product candidates, incur costs associated with our efforts to discover new targets and engage in future collaborations, and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financing to fund our continuing operations, which consist primarily of research and development expenditures related to our discovery programs and general and administrative expenditures. Cash used to fund operating expenses is impacted by the timing of when we pay these expenses, as reflected in the change in our outstanding accounts payable, accrued expenses and other current liabilities and prepaid expenses.</w:t>
      </w:r>
    </w:p>
    <w:p>
      <w:pPr>
        <w:pStyle w:val="TextBody"/>
        <w:bidi w:val="0"/>
        <w:spacing w:before="240" w:after="283"/>
        <w:jc w:val="left"/>
        <w:rPr>
          <w:rFonts w:ascii="Times New Roman" w:hAnsi="Times New Roman"/>
          <w:sz w:val="20"/>
        </w:rPr>
      </w:pPr>
      <w:r>
        <w:rPr>
          <w:rFonts w:ascii="Arial" w:hAnsi="Arial"/>
          <w:color w:val="000000"/>
          <w:sz w:val="20"/>
        </w:rPr>
        <w:t>Our forecast of cash resources and planned operations involves risks and uncertainties, and the actual amount of expenses could vary materially as a result of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progress, results and costs of drug discovery, preclinical development, laboratory testing and planned clinical trials for our current or future product candidates, including additional expenses attributable to adjusting our development plans;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prioritization and number of our research and development programs and clinical trials required for regulatory approval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timing and outcome of regulatory review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or maintain collaboration or license agreements and the achievement of milestones or occurrence of other developments that trigger payments under any existing or additional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acquiring or licensing additional product candidates, technologies or assets, including the timing and amount of any milestones, royalties or other payments due in connection with our acquisitions and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continuing to invest in our drug discovery efforts and tools designed to identify novel targets and drugs;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increase in the number of our employees or expansion of our physical facilities to support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securing manufacturing arrangements for clinical and commercial production and establishing or contracting for sales and marketing capabilities, if we obtain regulatory clearances to market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amount of revenue, if any, received from commercial sales of our product candidates, should any of our product candidates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patients’ willingness to pay out-of-pocket for any approved products in the absence of coverage and/or adequate reimbursement from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inflation, as well as other factors, including economic uncertainty and geopolitical tensions, which may exacerbate the magnitude of the factors discussed above. </w:t>
      </w:r>
    </w:p>
    <w:p>
      <w:pPr>
        <w:pStyle w:val="TextBody"/>
        <w:bidi w:val="0"/>
        <w:spacing w:before="240" w:after="283"/>
        <w:jc w:val="left"/>
        <w:rPr>
          <w:rFonts w:ascii="Times New Roman" w:hAnsi="Times New Roman"/>
          <w:sz w:val="20"/>
        </w:rPr>
      </w:pPr>
      <w:r>
        <w:rPr>
          <w:rFonts w:ascii="Arial" w:hAnsi="Arial"/>
          <w:color w:val="000000"/>
          <w:sz w:val="20"/>
        </w:rPr>
        <w:t>Furthermore, our operating plans may change, and we may need additional funds to meet operational needs and capital requirements for clinical trials and other research and development expenditures.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capital through collaboration or licensing arrangements with third parties or other strategic transactions, we may have to relinquish rights to our intellectual property, discovery tools,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Cash Flows</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Six months ended June 30, 2026 and 2025</w:t>
      </w:r>
    </w:p>
    <w:p>
      <w:pPr>
        <w:pStyle w:val="TextBody"/>
        <w:bidi w:val="0"/>
        <w:spacing w:before="240" w:after="283"/>
        <w:jc w:val="left"/>
        <w:rPr>
          <w:rFonts w:ascii="Arial" w:hAnsi="Arial"/>
          <w:color w:val="000000"/>
          <w:sz w:val="20"/>
        </w:rPr>
      </w:pPr>
      <w:r>
        <w:rPr>
          <w:rFonts w:ascii="Arial" w:hAnsi="Arial"/>
          <w:color w:val="000000"/>
          <w:sz w:val="20"/>
        </w:rPr>
        <w:t>The following table summarizes our primary sources and uses of cash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18"/>
        <w:gridCol w:w="229"/>
        <w:gridCol w:w="931"/>
        <w:gridCol w:w="180"/>
        <w:gridCol w:w="158"/>
        <w:gridCol w:w="229"/>
        <w:gridCol w:w="867"/>
        <w:gridCol w:w="166"/>
        <w:gridCol w:w="146"/>
        <w:gridCol w:w="211"/>
        <w:gridCol w:w="856"/>
        <w:gridCol w:w="214"/>
      </w:tblGrid>
      <w:tr>
        <w:trPr/>
        <w:tc>
          <w:tcPr>
            <w:tcW w:w="60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(75,543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292,644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173,721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Effect of exchange rate changes on cash, cash equivalents, and restricted cash </w:t>
            </w:r>
            <w:r>
              <w:rPr>
                <w:rFonts w:ascii="Arial" w:hAnsi="Arial"/>
                <w:color w:val="000000"/>
                <w:sz w:val="13"/>
              </w:rPr>
              <w:t>(1)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in cash, cash equivalents and restricted cash</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40,587</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(63,278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19"/>
        </w:rPr>
      </w:pPr>
      <w:r>
        <w:rPr>
          <w:rFonts w:ascii="Arial" w:hAnsi="Arial"/>
          <w:color w:val="000000"/>
          <w:sz w:val="19"/>
        </w:rPr>
        <w:t>(1)</w:t>
      </w:r>
    </w:p>
    <w:p>
      <w:pPr>
        <w:pStyle w:val="TextBody"/>
        <w:bidi w:val="0"/>
        <w:spacing w:before="240" w:after="283"/>
        <w:jc w:val="left"/>
        <w:rPr>
          <w:rFonts w:ascii="Arial" w:hAnsi="Arial"/>
          <w:color w:val="000000"/>
          <w:sz w:val="19"/>
        </w:rPr>
      </w:pPr>
      <w:r>
        <w:rPr>
          <w:rFonts w:ascii="Arial" w:hAnsi="Arial"/>
          <w:color w:val="000000"/>
          <w:sz w:val="19"/>
        </w:rPr>
        <w:t>The balance sheet is affected by spot exchange rates used to translate local currency amounts into U.S. dollars. In accordance with generally accepted accounting principles in the United States, or GAAP, we have eliminated the effect of foreign currency throughout our cash flow statement, except for its effect on our cash and cash equivalents.</w:t>
      </w:r>
    </w:p>
    <w:p>
      <w:pPr>
        <w:pStyle w:val="TextBody"/>
        <w:bidi w:val="0"/>
        <w:spacing w:before="240" w:after="283"/>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Net cash used in operating activities for the six months ended June 30, 2026 was $72.2 million, primarily consisting of our net loss of $91.1 million and net changes in operating assets and liabilities of $2.7 million, which were partially offset by adjustments to reconcile net loss to net cash used in operating activities of $21.6 million.</w:t>
      </w:r>
    </w:p>
    <w:p>
      <w:pPr>
        <w:pStyle w:val="TextBody"/>
        <w:bidi w:val="0"/>
        <w:spacing w:before="240" w:after="283"/>
        <w:jc w:val="left"/>
        <w:rPr>
          <w:rFonts w:ascii="Arial" w:hAnsi="Arial"/>
          <w:color w:val="000000"/>
          <w:sz w:val="20"/>
        </w:rPr>
      </w:pPr>
      <w:r>
        <w:rPr>
          <w:rFonts w:ascii="Arial" w:hAnsi="Arial"/>
          <w:color w:val="000000"/>
          <w:sz w:val="20"/>
        </w:rPr>
        <w:t>Net cash used in operating activities for the six months ended June 30, 2025 was $72.9 million, primarily consisting of our net loss of $79.7 million and net changes in operating assets and liabilities of $2.8 million, which were partially offset by adjustments to reconcile net loss to net cash used in operating activities of $9.7 million.</w:t>
      </w:r>
    </w:p>
    <w:p>
      <w:pPr>
        <w:pStyle w:val="TextBody"/>
        <w:bidi w:val="0"/>
        <w:spacing w:before="240" w:after="283"/>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Net cash used in investing activities for the six months ended June 30, 2026 was $176.6 million, primarily consisting of $246.5 million of purchases of marketable securities, partially offset by $69.9 million of maturities of marketable securities.</w:t>
      </w:r>
    </w:p>
    <w:p>
      <w:pPr>
        <w:pStyle w:val="TextBody"/>
        <w:bidi w:val="0"/>
        <w:spacing w:before="240" w:after="283"/>
        <w:jc w:val="left"/>
        <w:rPr>
          <w:rFonts w:ascii="Arial" w:hAnsi="Arial"/>
          <w:color w:val="000000"/>
          <w:sz w:val="20"/>
        </w:rPr>
      </w:pPr>
      <w:r>
        <w:rPr>
          <w:rFonts w:ascii="Arial" w:hAnsi="Arial"/>
          <w:color w:val="000000"/>
          <w:sz w:val="20"/>
        </w:rPr>
        <w:t>Net cash provided by investing activities for the six months ended June 30, 2025 was $57.4 million, primarily consisting of maturities of marketable securities of $58.3 million.</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Net cash provided by financing activities for the six months ended June 30, 2026 was $289.3 million, primarily consisting of proceeds from our IPO and concurrent private placement, including the underwriters’ partial exercise of their option to purchase additional shares.</w:t>
      </w:r>
    </w:p>
    <w:p>
      <w:pPr>
        <w:pStyle w:val="TextBody"/>
        <w:bidi w:val="0"/>
        <w:spacing w:before="240" w:after="283"/>
        <w:jc w:val="left"/>
        <w:rPr>
          <w:rFonts w:ascii="Arial" w:hAnsi="Arial"/>
          <w:color w:val="000000"/>
          <w:sz w:val="20"/>
        </w:rPr>
      </w:pPr>
      <w:r>
        <w:rPr>
          <w:rFonts w:ascii="Arial" w:hAnsi="Arial"/>
          <w:color w:val="000000"/>
          <w:sz w:val="20"/>
        </w:rPr>
        <w:t>Net cash provided by financing activities for the six months ended June 30, 2025 was $118.9 million, primarily consisting of proceeds from the issuance of Series D convertible preferred stock.</w:t>
      </w:r>
    </w:p>
    <w:p>
      <w:pPr>
        <w:pStyle w:val="TextBody"/>
        <w:bidi w:val="0"/>
        <w:spacing w:before="240" w:after="283"/>
        <w:jc w:val="left"/>
        <w:rPr>
          <w:rFonts w:ascii="Times New Roman" w:hAnsi="Times New Roman"/>
          <w:sz w:val="20"/>
        </w:rPr>
      </w:pPr>
      <w:r>
        <w:rPr>
          <w:rFonts w:ascii="Arial" w:hAnsi="Arial"/>
          <w:b/>
          <w:color w:val="000000"/>
          <w:sz w:val="20"/>
        </w:rPr>
        <w:t>License and Collaboration Agreement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Below is a summary of the key terms for our material license and collaboration agreement.</w:t>
      </w:r>
    </w:p>
    <w:p>
      <w:pPr>
        <w:pStyle w:val="TextBody"/>
        <w:bidi w:val="0"/>
        <w:spacing w:before="240" w:after="283"/>
        <w:jc w:val="left"/>
        <w:rPr>
          <w:rFonts w:ascii="Times New Roman" w:hAnsi="Times New Roman"/>
          <w:sz w:val="20"/>
        </w:rPr>
      </w:pPr>
      <w:r>
        <w:rPr>
          <w:rFonts w:ascii="Arial" w:hAnsi="Arial"/>
          <w:b/>
          <w:i/>
          <w:color w:val="000000"/>
          <w:sz w:val="20"/>
        </w:rPr>
        <w:t>Terray Collaboration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September 2024, we entered into a collaboration and license agreement, or the Terray Agreement, with Terray Therapeutics, Inc., or Terray, to discover, develop and commercialize or out-license products directed to IRF5. We and Terray have agreed to share all collaboration losses (generated in accordance with and subject to applicable budgets) and collaboration profits (including any payments received in connection with an out-licensing transaction) equally, beginning from the effective date of the Terray Agreement until the earlier of the date either party elects to opt-out, or the date the agreement expires or is terminated. The activities performed under the Terray Agreement are governed by a joint steering committee, made up of two employees designated by each party. No upfront payments were made upon the execution of the Terray Agreement and there have not been any payments made or received from the profit and loss share arrangement under the Terray Agreement as of June 30,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Contractual Obligations and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September 2021, we entered into an operating lease agreement for our corporate headquarters located in Boston, Massachusetts, expiring in September 2029. We are also party to several operating leases for office and lab space, as well as finance leases for certain lab equipment. As of June 30, 2026, our non-cancellable lease obligations were $29.6 million and $0.6 million under our operating and finance leases, respectively, of which $7.5 million and $0.2 million related to operating and finance leases, respectively, are due within the next 12 months. Refer to Note 9 to our condensed consolidated financial statements included elsewhere in this Quarterly Report for more information on our 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Purchase and Other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enter into contracts in the normal course of business with CROs for clinical trials, with CMOs for clinical manufacturing supplies and with other vendors for preclinical studies, supplies and other products and services for operating purposes. These agreements generally provide for termination at the request of either party with 30 to 90 days’ prior written notice and, therefore, we believe that our non-cancellable obligations under these agreements are not material. We do not currently expect any of these agreements to be terminated and did not have any non-cancellable obligations under these agreements as of June 30,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IFM Acquisition Contingent Consideration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On May 6, 2022, we acquired all of the membership interests in IFM, or the IFM Acquisition. The total purchase consideration was $3.1 million, which consisted of the following: (i) 81,240 shares of our non-voting common stock at closing, with the estimated fair value of $0.2 million, (ii) cash consideration of $0.9 million at closing, (iii) a deferred payment of $0.9 million, which was paid in June 2022 and (iv) contingent consideration in cash of up to $30.0 million, payable once for each of our NLR family pyrin domain containing 1 and melanoma differentiation-associated protein 5 programs upon the first achievement of certain development, commercial, regulatory and sales milestones related to each such program, the estimated fair value of which was determined to be $1.1 million on the acquisition date. As of June 30, 2026, no milestones had been achieved or were deemed probable to occur.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See Note 5 and Note 13 to our condensed consolidated financial statements included elsewhere in this Quarterly Report for additional details.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Rahko Acquisition Contingent Consideration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On October 6, 2021, we entered into the Rahko Purchase Agreements to purchase all of the issued share capital of Rahko, or the Rahko Acquisition, in exchange for a combination of cash, shares of our capital stock and additional contingent consideration of up to approximately $30.0 million. The contingent consideration would become payable to the former shareholders of Rahko upon either: (i) the first occurrence of our total market capitalization equaling or exceeding $1.5 billion based on a five-day volume-weighted average price of our publicly traded shares following the first public offering or public listing of our shares pursuant to applicable registration requirements on the New York Stock Exchange, the Nasdaq Global Select Market, the Nasdaq Global Market, the stock exchanges of Toronto, London or any other recognized investment exchange, or (ii) an exit event such as (1) a transaction or series of transactions in which any person (or persons acting in concert), other than a person who immediately prior to such transaction owned more than a majority of our voting securities, acquires more than 50% of the combined voting power of our then outstanding voting securities, (2) our consolidation or merger with or into another entity unless our stockholders immediately prior to such transaction continue to own, directly or indirectly, a majority of the combined voting power of the outstanding voting securities of the combined company, or (3) the sale or disposition of all or substantially all of our assets, in each case for which the potential proceeds are equal to or greater than $1.5 billion.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See Notes 5 and 13 to our condensed consolidated financial statements included elsewhere in this Quarterly Report for additional details.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Critical Accounting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revenue recognition, accrued research and development costs, stock-based compensation expense, and determination of the fair value of contingent consideration.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During the six months ended June 30, 2026, there were no material changes to our critical accounting estimates and significant accounting policies described in our IPO Prospectus.</w:t>
      </w:r>
    </w:p>
    <w:p>
      <w:pPr>
        <w:pStyle w:val="TextBody"/>
        <w:bidi w:val="0"/>
        <w:spacing w:before="240" w:after="283"/>
        <w:jc w:val="left"/>
        <w:rPr>
          <w:rFonts w:ascii="Times New Roman" w:hAnsi="Times New Roman"/>
          <w:sz w:val="20"/>
        </w:rPr>
      </w:pPr>
      <w:r>
        <w:rPr>
          <w:rFonts w:ascii="Arial" w:hAnsi="Arial"/>
          <w:b/>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description of recently issued accounting pronouncements that may potentially impact our financial position and results of operations is provided in Note 2 to our audited consolidated financial statements included in our IPO Prospectus and Note 2 to our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qualify as an “emerging growth company,” or an EGC, as defined in the JOBS Act and we may take advantage of certain exemptions from various disclosure and other requirements that are applicable to other public companies that are not EGCs, including (i) reduced disclosure about our executive compensation arrangements; (ii) not being required to hold advisory votes on executive compensation or to obtain stockholder approval of any golden parachute arrangements not previously approved; (iii) an exemption from the auditor attestation requirement in the assessment of our internal control over financial reporting pursuant to the Sarbanes-Oxley Act of 2002; and (iv) an exemption from compliance with the requirements of the PCAOB regarding the communication of critical audit matters in our auditor’s report on the financial statements. Section 107 of the JOBS Act provides that an EGC can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EGC.</w:t>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We may take advantage of these exemptions for up to five years or such earlier time that we are no longer an EGC. We would cease to be an EGC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not to “opt out” of the extended transition period for new or revised accounting standards described above. As a result of these decisions,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also a “smaller reporting company,” as defined in the Exchange Act. We may continue to be a smaller reporting company after our IPO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000000"/>
          <w:sz w:val="20"/>
        </w:rPr>
      </w:pPr>
      <w:bookmarkStart w:id="10" w:name="quantitative_and_qualitative_disclosures"/>
      <w:bookmarkEnd w:id="10"/>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As a "smaller reporting company," as defined by Item 10 of Regulation S-K of the Exchange Act, and pursuant to Item 305 of Regulation S-K, we are not required to provide quantitative and qualitative disclosures about market risk.</w:t>
      </w:r>
    </w:p>
    <w:p>
      <w:pPr>
        <w:pStyle w:val="TextBody"/>
        <w:bidi w:val="0"/>
        <w:spacing w:before="240" w:after="283"/>
        <w:jc w:val="left"/>
        <w:rPr>
          <w:rFonts w:ascii="Times New Roman" w:hAnsi="Times New Roman"/>
          <w:sz w:val="20"/>
        </w:rPr>
      </w:pPr>
      <w:bookmarkStart w:id="11" w:name="controls_and_procedures"/>
      <w:bookmarkEnd w:id="11"/>
      <w:r>
        <w:rPr>
          <w:rFonts w:ascii="Arial" w:hAnsi="Arial"/>
          <w:b/>
          <w:color w:val="000000"/>
          <w:sz w:val="20"/>
        </w:rPr>
        <w:t>Item</w:t>
      </w:r>
      <w:r>
        <w:rPr>
          <w:rFonts w:ascii="Times New Roman" w:hAnsi="Times New Roman"/>
          <w:color w:val="000000"/>
          <w:sz w:val="20"/>
        </w:rPr>
        <w:t xml:space="preserve"> </w:t>
      </w:r>
      <w:r>
        <w:rPr>
          <w:rFonts w:ascii="Arial" w:hAnsi="Arial"/>
          <w:b/>
          <w:color w:val="000000"/>
          <w:sz w:val="20"/>
        </w:rPr>
        <w:t>4. Controls and Procedures.</w:t>
      </w:r>
    </w:p>
    <w:p>
      <w:pPr>
        <w:pStyle w:val="TextBody"/>
        <w:bidi w:val="0"/>
        <w:spacing w:before="120" w:after="283"/>
        <w:jc w:val="both"/>
        <w:rPr>
          <w:rFonts w:ascii="Arial" w:hAnsi="Arial"/>
          <w:b/>
          <w:i/>
          <w:color w:val="000000"/>
          <w:sz w:val="20"/>
        </w:rPr>
      </w:pPr>
      <w:r>
        <w:rPr>
          <w:rFonts w:ascii="Arial" w:hAnsi="Arial"/>
          <w:b/>
          <w:i/>
          <w:color w:val="000000"/>
          <w:sz w:val="20"/>
        </w:rPr>
        <w:t>Management’s Evaluation of Disclosure Controls and Procedures</w:t>
      </w:r>
    </w:p>
    <w:p>
      <w:pPr>
        <w:pStyle w:val="TextBody"/>
        <w:bidi w:val="0"/>
        <w:spacing w:before="120" w:after="283"/>
        <w:jc w:val="both"/>
        <w:rPr>
          <w:rFonts w:ascii="Arial" w:hAnsi="Arial"/>
          <w:color w:val="000000"/>
          <w:sz w:val="20"/>
        </w:rPr>
      </w:pPr>
      <w:r>
        <w:rPr>
          <w:rFonts w:ascii="Arial" w:hAnsi="Arial"/>
          <w:color w:val="000000"/>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120" w:after="283"/>
        <w:jc w:val="both"/>
        <w:rPr>
          <w:rFonts w:ascii="Arial" w:hAnsi="Arial"/>
          <w:color w:val="000000"/>
          <w:sz w:val="20"/>
        </w:rPr>
      </w:pPr>
      <w:r>
        <w:rPr>
          <w:rFonts w:ascii="Arial" w:hAnsi="Arial"/>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pStyle w:val="TextBody"/>
        <w:bidi w:val="0"/>
        <w:spacing w:before="12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12" w:name="part_ii_other_information"/>
      <w:bookmarkEnd w:id="12"/>
      <w:r>
        <w:rPr>
          <w:rFonts w:ascii="Arial" w:hAnsi="Arial"/>
          <w:b/>
          <w:color w:val="000000"/>
          <w:sz w:val="20"/>
        </w:rPr>
        <w:t>PART II—OTHER INFORMATION</w:t>
      </w:r>
    </w:p>
    <w:p>
      <w:pPr>
        <w:pStyle w:val="TextBody"/>
        <w:bidi w:val="0"/>
        <w:spacing w:before="200" w:after="283"/>
        <w:jc w:val="left"/>
        <w:rPr>
          <w:rFonts w:ascii="Arial" w:hAnsi="Arial"/>
          <w:b/>
          <w:color w:val="000000"/>
          <w:sz w:val="20"/>
        </w:rPr>
      </w:pPr>
      <w:bookmarkStart w:id="13" w:name="item_1_legal_proceedings"/>
      <w:bookmarkEnd w:id="13"/>
      <w:r>
        <w:rPr>
          <w:rFonts w:ascii="Arial" w:hAnsi="Arial"/>
          <w:b/>
          <w:color w:val="000000"/>
          <w:sz w:val="20"/>
        </w:rPr>
        <w:t>Item 1. Legal Proceedings.</w:t>
      </w:r>
    </w:p>
    <w:p>
      <w:pPr>
        <w:pStyle w:val="TextBody"/>
        <w:bidi w:val="0"/>
        <w:spacing w:before="240" w:after="283"/>
        <w:jc w:val="left"/>
        <w:rPr>
          <w:rFonts w:ascii="Arial" w:hAnsi="Arial"/>
          <w:color w:val="000000"/>
          <w:sz w:val="20"/>
        </w:rPr>
      </w:pPr>
      <w:r>
        <w:rPr>
          <w:rFonts w:ascii="Arial" w:hAnsi="Arial"/>
          <w:color w:val="000000"/>
          <w:sz w:val="20"/>
        </w:rPr>
        <w:t>From time to time, we may become involved in litigation or other legal proceedings. We are not currently a party to any litigation or legal proceedings that, in the opinion of our management, are probable to have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240" w:after="283"/>
        <w:jc w:val="left"/>
        <w:rPr>
          <w:rFonts w:ascii="Arial" w:hAnsi="Arial"/>
          <w:b/>
          <w:color w:val="000000"/>
          <w:sz w:val="20"/>
        </w:rPr>
      </w:pPr>
      <w:bookmarkStart w:id="14" w:name="item_1a_risk_factors"/>
      <w:bookmarkEnd w:id="14"/>
      <w:r>
        <w:rPr>
          <w:rFonts w:ascii="Arial" w:hAnsi="Arial"/>
          <w:b/>
          <w:color w:val="000000"/>
          <w:sz w:val="20"/>
        </w:rPr>
        <w:t>Item 1A. Risk Factors.</w:t>
      </w:r>
    </w:p>
    <w:p>
      <w:pPr>
        <w:pStyle w:val="TextBody"/>
        <w:bidi w:val="0"/>
        <w:spacing w:before="240" w:after="283"/>
        <w:jc w:val="left"/>
        <w:rPr>
          <w:rFonts w:ascii="Times New Roman" w:hAnsi="Times New Roman"/>
          <w:sz w:val="20"/>
        </w:rPr>
      </w:pPr>
      <w:r>
        <w:rPr>
          <w:rFonts w:ascii="Arial" w:hAnsi="Arial"/>
          <w:i/>
          <w:color w:val="000000"/>
          <w:sz w:val="20"/>
        </w:rPr>
        <w:t>An investment in our common stock involves a high degree of risk. In deciding whether to invest, you should carefully consider and read the following risk factors, as well as the financial and other information contained in this Quarterly Report, including in the section of this Quarterly Report titled “Management’s Discussion and Analysis of Financial Condition and Results of Operations” and in our condensed consolidated financial statements and related notes included elsewhere in this Quarterly Report.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Our Business, Limited Operating History and Financial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are a clinical-stage biotechnology company with a limited operating history and a history of incurring substantial net losses, have no products approved for commercial sale, have never generated revenue from product sales and may never be profitable.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a clinical-stage biotechnology company with a limited operating history. We were formed in April 2021 and have devoted substantially all of our resources since that time to research and development activities for our product candidates, including OD-001 and OD-002, and our other development programs, recruiting management and technical staff, raising capital, producing materials for preclinical studies and clinical trials, developing and establishing our intellectual property portfolio, developing our research and development tools and technologies, entering into collaboration agreements, acquiring companies or assets to further our development programs and building infrastructure to support such activities. Our most advanced product candidate, OD-001, is in an ongoing phase 2a monotherapy trial and we expect to initiate a phase 2b monotherapy and a phase 2a combination trial in the second half of 2026, and all of our other product candidates remain in preclinical or non-clinical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continue to incur significant research and development and other expenses related to our ongoing operations. The success of our business depends primarily upon our ability to identify, develop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do not have any products approved for sale and have not generated any revenue from product sales or royalties to date. We do not know whether we will be able to develop any product candidates that succeed through preclinical and clinical development or products of commercial value. All of our historical revenue was generated from certain collaboration agreements we had entered into. We do not expect to generate product revenues unless and until we obtain marketing approval for a product candidate. Consequently, it may be more difficult to evaluate our business and predictions about our future success and viability may not be as accurate as they could be if we had a longer operating history. Investing in biotechnology product development is highly speculative because of the significant risk that, despite significant investment, any potential product candidate will fail to demonstrate adequate effect or an acceptable safety profile, gain regulatory approval and become commercially viable.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incurred net losses since our inception through June 30, 2026. Net losses and negative cash flows have had, and will continue to have, an adverse effect on our stockholders’ equity and working capital. For the six months ended June 30, 2026 and 2025, we reported a net loss of $91.1 million and $79.7 million, respectively. As of June 30, 2026, we had an accumulated deficit of $659.2 million. We expect to continue to incur significant losses for the foreseeable future, and we expect these losses to increase as we continue research and development efforts for our product candidates, advance our product candidates through preclinical studies and clinical trials and seek regulatory approvals for our product candidates.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We anticipate that our expenses will increase substantially as we: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continue to progress the development of our product candidates, including our two most advanced programs: OD-001 and OD-002;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and expand the manufacturing of preclinical and clinical supply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regulatory approvals for any of our current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 sales, marketing, manufacturing and distribution infrastructure to commercialize any product candidates for which we may obtain marketing approval,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attract, hire and retain qualified clinical, scientific, operations and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 and maintain operational, financial and information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protect, maintain, enforce and expand our rights in our intellectual property portfolio or acquire or in-license intellectual property and technologies from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experience any delays in our preclinical studies or clinical trials and regulatory approval for our product candidates, including as a result of macroeconomic conditions, geopolitical conflicts or other factors;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additional legal, accounting or other expenses in operating our business, including the costs associated with operating as a public company. </w:t>
      </w:r>
    </w:p>
    <w:p>
      <w:pPr>
        <w:pStyle w:val="TextBody"/>
        <w:bidi w:val="0"/>
        <w:spacing w:before="240" w:after="283"/>
        <w:jc w:val="left"/>
        <w:rPr>
          <w:rFonts w:ascii="Times New Roman" w:hAnsi="Times New Roman"/>
          <w:sz w:val="20"/>
        </w:rPr>
      </w:pPr>
      <w:r>
        <w:rPr>
          <w:rFonts w:ascii="Arial" w:hAnsi="Arial"/>
          <w:color w:val="000000"/>
          <w:sz w:val="20"/>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our value and the price of our common stock, and could impair our ability to raise capital, maintain our research and development efforts, expand our business or continue our operations. A decline in the value of our common stock also could cause you to lose all or part of your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 Our prior losses and expected future losses have had and will continue to have an adverse effect on our stockholders’ deficit and working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Developing pharmaceutical products, including conducting preclinical studies and clinical trials, is a time-consuming, expensive and uncertain process that takes years to complete. Our operations have consumed substantial amounts of cash since our inception. We expect to continue spending substantial amounts of cash to advance our current and future preclinical and clinical development programs and seek regulatory approval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of June 30, 2026, we had $433.1 million in cash, cash equivalents and marketable securities. We expect that the net proceeds from our IPO and the concurrent private placement, together with our existing cash, cash equivalents and short-term marketable securities will be sufficient to fund our operations into the second half of 2028. We have based this estimate on assumptions that may prove to be wrong, and we could utilize our available capital resources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sooner than we expect. Additionally, because the design and outcome of our planned and anticipated preclinical studies and clinical trials are highly uncertain, we cannot reasonably estimate the actual amounts necessary to successfully complete the development and commercialization of any product candidate.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future capital requirements will depend on, and could increase significantly as a result of,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the scope, progress, results and costs of drug discovery, preclinical development, laboratory testing and planned clinical trials for our current or future product candidates, including additional expenses attributable to adjusting our development plans;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prioritization and number of our research and development programs and clinical trials required for regulatory approval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timing and outcome of regulatory review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or maintain collaboration or license agreements and the achievement of milestones or occurrence of other developments that trigger payments under any existing or additional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acquiring or licensing additional product candidates, technologies or assets, including the timing and amount of any milestones, royalties or other payments due in connection with acquisitions and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continuing to invest in our suite of tools and drug discovery efforts to identify novel targets and drugs;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increase in the number of our employees or expansion of our physical facilities to support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securing manufacturing arrangements for clinical and commercial production and establishing or contracting for sales and marketing capabilities, if we obtain regulatory clearances to market our current or future product candidates, including the cost of any third-party products used as combination agents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and timing of future commercialization activities, including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amount of revenue, if any, received from commercial sales of our product candidates, should any of our product candidates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patients’ willingness to pay out-of-pocket for any approved products in the absence of coverage or adequate reimbursement from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inflation, as well as other factors, including economic uncertainty and geopolitical tensions, which may exacerbate the magnitude of the factors discussed above. </w:t>
      </w:r>
    </w:p>
    <w:p>
      <w:pPr>
        <w:pStyle w:val="TextBody"/>
        <w:bidi w:val="0"/>
        <w:spacing w:before="240" w:after="283"/>
        <w:jc w:val="left"/>
        <w:rPr>
          <w:rFonts w:ascii="Times New Roman" w:hAnsi="Times New Roman"/>
          <w:sz w:val="20"/>
        </w:rPr>
      </w:pPr>
      <w:r>
        <w:rPr>
          <w:rFonts w:ascii="Arial" w:hAnsi="Arial"/>
          <w:color w:val="000000"/>
          <w:sz w:val="20"/>
        </w:rPr>
        <w:t>Until such time as we can generate significant revenue from sales of our product candidates, if ever,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Raising additional capital may cause dilution to our stockholders, restrict our operations or require us to relinquish rights to our technologies or current or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Even if we believe that we will have sufficient funds for our current or future operating plans, we may seek additional capital if market conditions are favorable or if there are specific strategic considerations for doing so. To the extent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we raise funds by entering into collaborations, strategic alliances or licensing arrangements with third parties, we may have to relinquish additional valuable rights to our technologies, future revenue streams, research programs or product candidates, or grant licenses on terms that may not be favorable to us, any of which may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Further,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business depends entirely on the success of our product candidates and development programs, including OD-001 and OD-002,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currently have no products approved for commercial sale or for which regulatory approval to market has been sought. We have invested the majority of our efforts and financial resources in the development of our product candidates and development programs, each of which is still in preclinical or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then successfully commercialize our product candidates, which may never occur.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product candidates and development programs will require substantial additional preclinical and clinical development time, regulatory approval, commercial manufacturing arrangements, the establishment of a commercial organization, significant marketing efforts and further investment before we can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Even if our product candidates are successful in clinical trials, we will not be permitted to market or promote any of our product candidates until we receive regulatory approval from the U.S. Food and Drug Administration, or the FDA, or comparable foreign regulatory authorities, and we may never receive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FDA or comparable foreign regulatory authorities may also consider their approvals of competing products concurrently with their review of our investigational new drug applications, or INDs, clinical trial applications, or CTAs, or other submissions. That review may lead to changes in the review requirements that had been previously communicated to us and our interpretation thereof, including changes to requirements for clinical data or clinical trial design. Such changes could delay approval or necessitate the withdrawal of our INDs, CTAs or other submissions.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our product candidates are approved for marketing by applicable regulatory authorities, our ability to generate revenue from any approved products will depend on our ability to:</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receive regulatory approval for the targeted patient populations and claims that are necessary or desirable for successful marketing;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manufacture products through CMOs in sufficient quantities and at acceptable quality and manufacturing cost to meet commercial demand at launch and thereafter;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price our products competitively such that third-party and government reimbursement supports broad product adoption;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demonstrate the superiority of our products compared to the standard of care, as well as other therapies in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create market demand for our products through our own marketing and sales activities, and any other arrangements to promote these products that we may otherwise establish;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and maintain agreements with wholesalers, distributors, pharmacies and group purchasing organizations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maintain, protect and enforce patent and other intellectual property rights and regulatory exclusivity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compliance with applicable laws, regulations and guidance specific to commercialization, including interactions with healthcare professionals, patient advocacy groups and communication of healthcare economic information to payors and formularies;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achieve market acceptance of our products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a distribution and logistics network capable of product storage within our specifications and regulatory guidelines, and further capable of timely product delivery to commercial clinical sites;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ensure that our product will be used as directed and that additional unexpected safety risks will not arise. </w:t>
      </w:r>
    </w:p>
    <w:p>
      <w:pPr>
        <w:pStyle w:val="TextBody"/>
        <w:bidi w:val="0"/>
        <w:spacing w:before="240" w:after="283"/>
        <w:jc w:val="left"/>
        <w:rPr>
          <w:rFonts w:ascii="Times New Roman" w:hAnsi="Times New Roman"/>
          <w:sz w:val="20"/>
        </w:rPr>
      </w:pPr>
      <w:r>
        <w:rPr>
          <w:rFonts w:ascii="Arial" w:hAnsi="Arial"/>
          <w:b/>
          <w:i/>
          <w:color w:val="000000"/>
          <w:sz w:val="20"/>
        </w:rPr>
        <w:t>Our business entails a significant risk of product liability and an inability to obtain sufficient insurance coverage for those or other claims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we conduct preclinical studies and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an investigation by the FDA or comparable foreign regulatory authorities focused on the safety and efficacy of our current or future product candidates, our manufacturing processes and facilities or our marketing programs. Such an investigation may potentially result in a recall of our products or a more serious enforcement action, limitations on the approved indications for which the product may be used or suspension or withdrawal of approvals. Regardless of the merits or eventual outcome, product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future success depends on our ability to retain and to continue to receive adequate attention from our key leaders, as well as on our ability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highly dependent upon Gary D. Glick, Ph.D., our founder, President and Chief Executive Officer, and Jeffrey M. Leiden, M.D., Ph.D., the Chair of our board of directors, and losing the services of either of these individuals could delay or prevent the successful development of our product candidates, the initiation or completion of our preclinical studies and clinical trials or the commercialization of our product candidates. Dr. Glick’s employment agreement with us is terminable by him at will and, therefore, we may not be able to retain his services as expected. Dr. Leiden serves as a director and must be re-elected by our stockholders to continue serving on our board of directors. He may also resign from service as a director at any time. In addition, because we do not currently maintain “key person”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life insurance on the lives of our executives or any of our employees, we may not have adequate compensation for the loss of the services of these individuals.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Our success also depends on our ability to continue to receive adequate attention from our key leaders as we execute on our growth strategy. For example, in addition to his services to Odyssey as CEO, Dr. Glick began serving as Executive Chair of Charm Therapeutics Limited, or Charm, a biotechnology company focused on developing a new generation of menin inhibitors for acute myeloid leukemia, in January 2022. While, to date, the amount of time Dr. Glick has devoted to Charm has not changed, Dr. Glick became interim CEO of Charm in June 2025. It is possible that, in the future, unforeseen developments at Charm could require Dr. Glick to divert his attention for a period of time from his role at Odyssey in order to fulfill his responsibilities at Charm. None of our other key leaders currently has an outside role that we believe could detract from their ability to fulfill their ongoing responsibilities to us.</w:t>
      </w:r>
    </w:p>
    <w:p>
      <w:pPr>
        <w:pStyle w:val="TextBody"/>
        <w:bidi w:val="0"/>
        <w:spacing w:before="240" w:after="283"/>
        <w:jc w:val="left"/>
        <w:rPr>
          <w:rFonts w:ascii="Times New Roman" w:hAnsi="Times New Roman"/>
          <w:sz w:val="20"/>
        </w:rPr>
      </w:pPr>
      <w:r>
        <w:rPr>
          <w:rFonts w:ascii="Arial" w:hAnsi="Arial"/>
          <w:color w:val="000000"/>
          <w:sz w:val="20"/>
        </w:rPr>
        <w:t>Finally, our success also depends in part on our continued ability to attract, retain and motivate highly qualified management and clinical and scientific personnel. We may not be successful in continuing to attract or retain qualified management and scientific and clinical personnel in the future due to the intense competition for qualified personnel among biopharmaceutical, biotechnology and other businesses and academic institutions, particularly in the greater Boston area.</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If we are not able to attract, integrate, retain and motivate necessary personnel to accomplish our business objectives, or if members of our team are required to devote substantial amounts of time to other professional responsibilities that limit their ability to devote necessary time to our affairs, we may experience constraints that significantly impede the achievement of our business objectives, our ability to raise additional capital and our ability to implement our business strategy.</w:t>
      </w:r>
    </w:p>
    <w:p>
      <w:pPr>
        <w:pStyle w:val="TextBody"/>
        <w:bidi w:val="0"/>
        <w:spacing w:before="240" w:after="283"/>
        <w:jc w:val="left"/>
        <w:rPr>
          <w:rFonts w:ascii="Times New Roman" w:hAnsi="Times New Roman"/>
          <w:sz w:val="20"/>
        </w:rPr>
      </w:pPr>
      <w:r>
        <w:rPr>
          <w:rFonts w:ascii="Arial" w:hAnsi="Arial"/>
          <w:b/>
          <w:i/>
          <w:color w:val="000000"/>
          <w:sz w:val="20"/>
        </w:rPr>
        <w:t>We will need to grow our organization, and we may experience difficulties in managing our growth and expanding our operations,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of June 30, 2026, we had 100 full-time employees. As our development and commercialization plans and strategies progress, and as we transition into operating as a public company, we expect to expand our employee base for managerial, operational, financial and other resources. In addition,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employees, independent contractors, consultants, commercial partners and vendors may engage in misconduct or other improper activities, including noncompliance with regulatory standards and requirements,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exposed to the risk of fraud or other misconduct by our employees, contractors and partners.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report financial information or data timely,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In the normal course of business, we periodically enter into commercial, service, collaboration, licensing, consulting and other agreements that contain indemnification provisions. With respect to our commercial agreements, we sometimes indemnify our vendors from any third-party product liability claims that could result from the production, use or consumption of the product, as well as for alleged infringements of any patent or other intellectual property right by a third party.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our obligations under an indemnification provision exceed or do not qualify for applicable insurance coverage or if we were denied insurance coverage, our business, financial condition, results of operations and prospects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results of operations and prospects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be required to make contingent or deferred payments to collaborators or in connection with acquisitions and in-licenses of technology. Such payments may have an adverse impact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entered into, and may in the future enter into, collaborations, acquisitions and in-licensing arrangements that contemplate contingent or deferred payments. In the event we are deemed to have achieved certain milestones in connection with such contingent or deferred payments, we may be required to pay such amounts in full or in part. For example, if certain contingencies are satisfied, we may be required to make a payment of up to $30.0 million to the former shareholders of Rahko Limited, or Rahko, a company we acquired in 2021. Additionally, upon the achievement of certain development, commercial, regulatory and sales milestones for each of our NLRP1 and MDA5 programs, we may be required to pay up to $30.0 million in contingent payments once for each such program to the former members of IFM Discovery, LLC, a company we acquired in 2022. See the section of this Quarterly Report titled “</w:t>
      </w:r>
      <w:r>
        <w:rPr>
          <w:rFonts w:ascii="Arial" w:hAnsi="Arial"/>
          <w:i/>
          <w:color w:val="000000"/>
          <w:sz w:val="20"/>
        </w:rPr>
        <w:t>Management’s Discussion and Analysis of Financial Condition and Results of Operations—Contractual Obligations and Commitments</w:t>
      </w:r>
      <w:r>
        <w:rPr>
          <w:rFonts w:ascii="Times New Roman" w:hAnsi="Times New Roman"/>
          <w:color w:val="000000"/>
          <w:sz w:val="20"/>
        </w:rPr>
        <w:t xml:space="preserve">” </w:t>
      </w:r>
      <w:r>
        <w:rPr>
          <w:rFonts w:ascii="Arial" w:hAnsi="Arial"/>
          <w:color w:val="000000"/>
          <w:sz w:val="20"/>
        </w:rPr>
        <w:t>for additional information regarding our deferred consideration obligations. Contingent or deferred payments may have an adverse impact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become subject to litigation, which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From time to time, we may become involved in litigation or other legal proceedings relating to claims arising from the ordinary course of business or otherwise, including claims related to employment matters, security of patient and employee personal data, product liability, intellectual property rights and contractual relations with current or past collaborators or licensors. For example, we and the former shareholders of Rahko may disagree about whether our IPO satisfies the contractual prerequisites that would require us to make a substantial contingent consideration payment to them. In the event of a disagreement, the former Rahko shareholders could seek to recover for non-payment through litigation. See the section of this Quarterly Report titled “</w:t>
      </w:r>
      <w:r>
        <w:rPr>
          <w:rFonts w:ascii="Arial" w:hAnsi="Arial"/>
          <w:i/>
          <w:color w:val="000000"/>
          <w:sz w:val="20"/>
        </w:rPr>
        <w:t>Management’s Discussion and Analysis of Financial Condition and Results of Operations—Contractual Obligations and Commitments</w:t>
      </w:r>
      <w:r>
        <w:rPr>
          <w:rFonts w:ascii="Times New Roman" w:hAnsi="Times New Roman"/>
          <w:color w:val="000000"/>
          <w:sz w:val="20"/>
        </w:rPr>
        <w:t xml:space="preserve">” </w:t>
      </w:r>
      <w:r>
        <w:rPr>
          <w:rFonts w:ascii="Arial" w:hAnsi="Arial"/>
          <w:color w:val="000000"/>
          <w:sz w:val="20"/>
        </w:rPr>
        <w:t>for additional information regarding our contingent consideration obligations. Any litigation we become party to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p>
    <w:p>
      <w:pPr>
        <w:pStyle w:val="TextBody"/>
        <w:bidi w:val="0"/>
        <w:spacing w:before="240" w:after="283"/>
        <w:jc w:val="left"/>
        <w:rPr>
          <w:rFonts w:ascii="Times New Roman" w:hAnsi="Times New Roman"/>
          <w:sz w:val="20"/>
        </w:rPr>
      </w:pPr>
      <w:r>
        <w:rPr>
          <w:rFonts w:ascii="Arial" w:hAnsi="Arial"/>
          <w:b/>
          <w:i/>
          <w:color w:val="000000"/>
          <w:sz w:val="20"/>
        </w:rPr>
        <w:t>Our current operations are concentrated predominantly in two locations, and we or the third parties upon whom we depend may be adversely affected by natural or manmade disasters.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current operations are concentrated predominantly in Boston, Massachusetts and Ann Arbor, Michigan. Any unplanned event, such as a flood, explosion,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may have significant negative consequences on our financial condition, results of operations and prospects. Any similar impacts of natural or manmade disasters on our third-party CMOs, CROs, or other third parties on whom we rely could cause delays in our clinical trials and may have a material and adverse effect on our ability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operate our business and have significant negative consequences on our financial condition, results of operations and prospects. If any such natural or manmade accidents or incidents occurred and prevented us from using our clinical sites, impacted clinical supply or the conduct of our clinical trials, damaged critical infrastructure, such as the manufacturing facilities of our third-party CMOs,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artificial intelligence, or AI, and machine learning, or ML, platform leverages internal data as well as data from third parties. Defects in, or loss of access to, our databases or those of third parties may impair our ability to discover additional targets and develop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use our AI/ML platform to improve our target discovery programs by improving the hit finding and lead optimization process for our small-molecule product candidates. Our AI/ML platform accesses third-party databases. If access to this data is lost or limited, or if this data becomes outdated, it may delay or otherwise adversely affect our ability to develop our product candidates. Our competitors may render our approach obsolete, by advances in existing technological approaches or the development of new or different approaches, potentially eliminating the advantages in our drug discovery process that we believe we derive from our research approach and proprietary technologies.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proprietary software tools and data sets are inherently complex and may contain defects or errors. Errors may result from the interface of our hardware or proprietary software tools with our data or third-party systems and data. The risk of errors is particularly significant when new software or hardware is first introduced or when new versions or enhancements of existing software or hardware are implemented. Any errors, defects, disruptions or other performance problems with our software, hardware or data sets could hurt our ability to gather valuable insights that we intend to use to assist in developing our current and future product candidates and drive our drug discoveries. We outsource all of the core network infrastructure relating to our AI/ML platform to third-party hosting services. We have limited control, if any, over any of these third parties, and we cannot guarantee that such third-party providers will not experience system interruptions, outages or delays or deterioration in their performance.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Furthermore, the development and use of AI/ML present various privacy and security risks that may impact our business. AI/ML are subject to privacy and data security laws, as well as increasing regulation and scrutiny. For example, several jurisdictions around the globe, including Europe and certain U.S. states, have proposed, enacted or are considering laws governing the development and use of AI/ML, such as the EU’s AI Act and the Colorado Artificial Intelligence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or retrain our AI/ML or prevent or limit our use of AI/ML. For example, the Federal Trade Commission, or the FTC, has required other companies to turn over (or disgorge) valuable insights or trainings generated through the use of AI/ML where they allege the company has violated privacy and consumer protection laws. If we cannot use AI/ML or our use is restricted, our preclinical research and development programs may be less efficient, or we may be at a competitive disadvantage.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The occurrence of any of these events could prevent us from leveraging our AI/ML capability and software to help us develop our product candidates more efficiently than existing industry tools and have a material adverse effect on our business, financial condition, results of operations or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Unfavorable global economic conditions, including any adverse macroeconomic conditions or geopolitical events, could adversely affect our business, financial condition, results of operations or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results of operations could be adversely affected by general conditions in the global economy and in the global financial markets. The global credit and financial markets have experienced extreme volatility and disruptions in the past several years. A severe or prolonged economic downturn, or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continued market volatility or a general economic downturn could cause our stock price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If any of the banks that hold our cash deposits were to be placed into receivership, we may be unable to access our cash and cash equivalents and short-term marketable securities, which would adversely affect our business. In addition, if any of the third parties on whom we rely to conduct certain aspects of our preclinical studies or clinical trials are unable to access funds through certain financial institutions, such parties’ ability to fulfill their obligations to us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Research, Development and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two most advanced product candidates are currently in a phase 2a monotherapy trial and IND-enabling studies, respectively. We have never successfully completed any large-scale or pivotal clinical trials with our product candidates, and we may be unable to do so for any product candidates we develop.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of the date of this Quarterly Report, we have only one product candidate in clinical development and our next most advanced product candidate is currently in IND-enabling studies. All of our other development programs are in the preclinical or drug discovery stage. Odyssey has not yet successfully completed any large-scale or pivotal clinical trials, obtained regulatory approvals, manufactured a commercial scale product (or arranged for a third party to do so on our behalf) or conducted sales and marketing activities necessary for successful commercialization of any of our product candidates. Odyssey’s experience conducting clinical trials with its product candidates is limited. Aside from OD-001, our product candidate currently in clinical development for the treatment of ulcerative colitis, or UC, all of our other development programs will need to progress through IND-enabling studies and receive authorization from the FDA or a comparable foreign regulatory authority to proceed under an IND, CTA or other submission prior to initiating clinical development. We may not be able to file INDs, CTAs or other submissions for any of our other product candidates on the timelines we expect, or at all. Even if we submit an IND, CTA or other submission for a product candidate, the FDA or a comparable foreign regulatory authority may not clear the IND, CTA or other submission and allow us to begin clinical trials in a timely manner or at all. The timing of submissions of INDs, CTAs or other submissions for our product candidates will be dependent on further preclinical and manufacturing success. Commencing each of these clinical trials is subject to finalizing the trial design based on discussions with the FDA and comparable foreign regulatory authorities. Any guidance we receive from the FDA or comparable foreign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be delayed in obtaining marketing approval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not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 subject to post-marketing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 required to have the product removed from the market after obtaining marketing approval. </w:t>
      </w:r>
    </w:p>
    <w:p>
      <w:pPr>
        <w:pStyle w:val="TextBody"/>
        <w:bidi w:val="0"/>
        <w:spacing w:before="240" w:after="283"/>
        <w:jc w:val="left"/>
        <w:rPr>
          <w:rFonts w:ascii="Times New Roman" w:hAnsi="Times New Roman"/>
          <w:sz w:val="20"/>
        </w:rPr>
      </w:pPr>
      <w:r>
        <w:rPr>
          <w:rFonts w:ascii="Arial" w:hAnsi="Arial"/>
          <w:b/>
          <w:i/>
          <w:color w:val="000000"/>
          <w:sz w:val="20"/>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All of our product candidates are either in preclinical development or, in the case of OD-001, in a phase 2a monotherapy trial. The risk that our product candidates fail to successfully proceed through clinical development is high. We expect it will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Commencing any future clinical trials is subject to finalizing the trial design and submitting an application to the FDA or a comparable foreign regulatory authority. Even after we make our submission, the FDA or comparable foreign regulatory authority could disagree that we have satisfied their requirements to commence our clinical trials or disagree with our trial design, which may require us to complete additional studies or trials, amend our protocols or impose stricter conditions on the commencement of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regulators, such as the FDA or comparable foreign regulatory authorities,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or failing to reach, agreement on acceptable terms with trial sites and CROs, the terms of which can be subject to extensive negotiation and may vary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 sites deviating from trial protocol or dropping out of a trial;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of participants required for clinical trials may be larger than we anticipate, enrollment in clinical trials may be slower than we anticipate or participants may drop out or fail to return for post-treatment follow-up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clinical trials may be greater than we anticipate or we may have insufficient funds for a clinical trial or to pay the substantial user fees required by the FDA upon the submission of a biologic license application, or BLA, or new drug application, or NDA;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quality or quantity of data relating to our product candidates or other materials necessary to conduct our clinical trials may be inadequate to initiate or complete a given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reports from clinical testing of other therapies may raise safety, tolerability or efficacy concerns about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 </w:t>
      </w:r>
    </w:p>
    <w:p>
      <w:pPr>
        <w:pStyle w:val="TextBody"/>
        <w:bidi w:val="0"/>
        <w:spacing w:before="240" w:after="283"/>
        <w:jc w:val="left"/>
        <w:rPr>
          <w:rFonts w:ascii="Times New Roman" w:hAnsi="Times New Roman"/>
          <w:sz w:val="20"/>
        </w:rPr>
      </w:pPr>
      <w:r>
        <w:rPr>
          <w:rFonts w:ascii="Arial" w:hAnsi="Arial"/>
          <w:color w:val="000000"/>
          <w:sz w:val="20"/>
        </w:rPr>
        <w:t>We have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could also encounter delays if a clinical trial is suspended, put on clinical hold or terminated by us, the IRBs of the institutions where such trials are being conducted, the FDA or comparable foreign regulatory authorities, or if a clinical trial is recommended for suspension or termination by a data safety monitoring board or data monitoring committee, or DSMB, for such trial. A suspension or termination may be imposed due to a number of factors, including failure to conduct the clinical trial in accordance with regulatory requirements or our clinical protocols, failure by our CROs to perform in accordance with good clinical practices, or GCPs, or applicable regulatory guidelines in other countries, inspection of the clinical trial operations or trial site by the FDA or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the need to obtain agreement from multiple parties and may increase our future costs and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regulatory approval processes of the FDA and comparable foreign regulatory authorities are lengthy, time consuming and inherently unpredictable, and if we are ultimately unable to obtain regulatory approval for our product candidates or obtain limited regulatory approval, our business will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Odyssey has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an NDA or BLA from the FDA or similar marketing application in another jurisdiction. The FDA and other comparable foreign regulatory authorities may delay, limit or deny approval of our product candidates for many reasons,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we may not be able to demonstrate to the satisfaction of the FDA or other comparable foreign regulatory authorities that any of our product candidates are safe and effective for any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clinical trials may not meet the level of statistical significance or clinical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the number, design, size, conduct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not find the data from preclinical studies and clinical trials sufficient to demonstrate that the benefits of any of our product candidates outweigh their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our interpretation of data from preclinical studies or clinical trials, or may not accept data generated at our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data collected from preclinical studies and clinical trials of any of our product candidates may not be sufficient to support the submission of an IND, CTA or other application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may require development of a risk evaluation and mitigation strategy, or REMS, and foreign regulatory authorities may require a risk management plan, or RMP, as a condition of approval for new products, among other additional requirements;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identify deficiencies in the manufacturing processes or facilities of third-party manufacturers with which we enter into agreements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change their approval policies or adopt new regulations;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require simultaneous approval for both adults and for children and adolescents, which may delay approval, or we may have successful clinical trial results for adults but not children and adolescents, or vice versa. </w:t>
      </w:r>
    </w:p>
    <w:p>
      <w:pPr>
        <w:pStyle w:val="TextBody"/>
        <w:bidi w:val="0"/>
        <w:spacing w:before="240" w:after="283"/>
        <w:jc w:val="left"/>
        <w:rPr>
          <w:rFonts w:ascii="Times New Roman" w:hAnsi="Times New Roman"/>
          <w:sz w:val="20"/>
        </w:rPr>
      </w:pPr>
      <w:r>
        <w:rPr>
          <w:rFonts w:ascii="Arial" w:hAnsi="Arial"/>
          <w:color w:val="000000"/>
          <w:sz w:val="20"/>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the FDA or comparable foreign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RMP or comparable foreign risk management approaches. The FDA or comparable foreign regulatory authorities may not accept the labeling claims that we believe would be necessary or desirable for the successful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Further, the FDA or comparable foreign regulatory authorities may respond to any BLA, NDA or comparable marketing application that we may submit by defining requirements that we do not anticipate. Such responses could delay clinical development of any of our product candidates or any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also subject to numerous foreign regulatory requirements governing the conduct of clinical trials, manufacturing and marketing authorization, pricing and third-party reimbursement, and may in the future become subject to additional ones.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we encounter difficulties enrolling patients in clinical trials, our clinical development activities could be delayed or otherwise adversely affected,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eligibility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design of the clinical protocol;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the case of a combination study with another product, the ability of such product to be used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risk that patients enrolled in clinical trials will drop out of the trials before the administration of our product candidates or trial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competing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new drugs approved for the indication the clinical trial is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clinicians’ and patients’ perceptions as to the potential advantages of the drug being studied in relation to other available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factors outside of our control, such as the effects of global economic conditions and volatility in the credit and financial markets, inflationary pressures, the Russian invasion of Ukraine, the conflicts in the Middle East and other geopolitical conditions. </w:t>
      </w:r>
    </w:p>
    <w:p>
      <w:pPr>
        <w:pStyle w:val="TextBody"/>
        <w:bidi w:val="0"/>
        <w:spacing w:before="240" w:after="283"/>
        <w:jc w:val="left"/>
        <w:rPr>
          <w:rFonts w:ascii="Times New Roman" w:hAnsi="Times New Roman"/>
          <w:sz w:val="20"/>
        </w:rPr>
      </w:pPr>
      <w:r>
        <w:rPr>
          <w:rFonts w:ascii="Arial" w:hAnsi="Arial"/>
          <w:color w:val="000000"/>
          <w:sz w:val="20"/>
        </w:rPr>
        <w:t>For example, as of the date of this Quarterly Report, we have enrolled patients in our phase 2a signal seeking trial for OD-001 at multiple sites, including sites in Ukraine. We are also considering, subject to the receipt of necessary approvals from the applicable regulatory authorities, enrolling patients at sites in the Middle East for future clinical trials. To the extent military conflicts, political unrest, unstable economic conditions or other events adversely impact our ability to enroll patients or complete enrollments in process or adversely impacts the ability of our suppliers to produce and distribute the supplies we need for our OD-001 phase 2a monotherapy trial or in future clinical trials, we may be required to enroll patients at other sites which could increase the cost or delay the timing for completing such trial.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treatments which may make it more 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Positive results from preclinical studies and early clinical trials of our current or future product candidates are not necessarily predictive of the results of later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In addition, the data from our preclinical comparison studies may not be replicated in clinical trials, and our competitors may advance different compounds than those we studied. For example, historical remission rates observed in early clinical trials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are not necessarily indicative of remission rates observed in future placebo-controlled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current RIPK2 phase 2a monotherapy trial utilizes an “open-label” trial design and we may utilize this for future clinical trials for this or future product candidates. An “open-label” clinical trial is one where both the patient and investigator know whether the patient is receiving the investigational product candidate or either an existing approved drug or placebo.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value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or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approach to clinical development relies on developing product candidates across a number of inflammatory diseases. We may not be successful in our efforts to discover additional product candidates or we may expend our limited resources to pursue a particular product candidate in specific indications and fail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Given our broad approach seeking to identify multiple novel targets in a wide variety of indications, we will need to carefully allocate our limited financial and managerial resources among our 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our product candidates, if approved, do not achieve broad market acceptance, the revenue that we generate from their sales will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currently developing product candidates targeting inflammatory bowel disease, or IBD, and a number of autoimmune diseases, including systemic lupus erythematosus. In the future, we may develop additional product candidates targeting a range of other inflammatory and autoimmune diseases. However, Odyssey has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degree of market acceptance of any of our product candidates will depend on a number of factors, some of which are beyond our control,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the safety, side effect profile, efficacy, tolerability, cost and ease of administration of our product candidates and any approved products we use as part of a combination treatment,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clinical indications for which the products are approved and the approved claims that we may make for the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limitations or warnings contained in the product’s FDA-approved labeling, including potential limitations or warnings for such products that may be more restrictive than other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distribution and use restrictions imposed by the FDA or comparable foreign regulatory authorities with respect to such product candidates or to which we agree as part of a mandatory REMS or RMP or voluntary risk management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standard of care for the targeted indications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adequate coverage and reimbursement by third parties, such as insurance companies and other healthcare payors, and by government healthcare programs, including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and strength of our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safety, efficacy and other potential advantages of, and availability of, alternative treatments already used or that may later be approved for any of our intended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market introduction of such product candidates,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reluctance of physicians to switch their patients’ current standard of care;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and strength of our third-party manufacturer and supplier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adverse publicity about our product or favorable publicity about competitive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product liability claims.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market opportunities for our product candidates and forecasts of market growth may not be accurate, and the actual market for our product candidates may be smaller than we estimate.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face substantial competition, which may result in others discovering, developing or commercializing drugs before or more successfully than we do.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development and commercialization of new drugs is highly competitive.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Many of our competitors have significantly greater financial, technical, manufacturing, supply, marketing and sales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If we do not achieve our projected development goals in the timeframes we announce and expect, the commercialization of our programs may be delayed and our expenses may increase and, as a result, our stock price may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Use of our product candidates could be associated with side effects, adverse events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Before obtaining regulatory approvals for the commercial sale of any of our product candidates, we must demonstrate through lengthy, complex and expensive preclinical studies and clinical trials that our current product candidates, including OD-001 and OD-002, our lead product candidates, and any future product candidates are both safe, pure and potent and effective for use in such product candidate’s target indication. Clinical testing is expensive, can take many years to complete and its outcome is inherently uncertain. Failure can occur at any time during the clinical trial process. Product candidates in later stages of clinical trials may fail to generate desired safety and efficacy data despite having progressed through preclinical studies and initial clinical trials. It is not uncommon in the biopharmaceutical and biotechnology industries to suffer significant setbacks in advanced clinical trials due to lack of efficacy or unacceptable safety issues, notwithstanding promising results in earlier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Patients in our ongoing and planned clinical trials may in the future suffer significant adverse events or other side effects not observed in our preclinical studies or previous clinical trials. For example, while no serious adverse effects, or SAEs, have been observed as of the date of this Quarterly Report, it is possible that testing in additional human subjects with IBD may, either in monotherapy or in combination with other agents, reveal greater side effects in our clinical program for OD-001 than observed in our clinical testing to date. We will continue to learn more about our product candidates and potential side effects as they advance through clinical development. In addition, if our product candidates are used in combination with other therapies, our product candidates may exacerbate adverse events associated with the therapy. Patients treated with our product candidates may also be undergoing other medical treatments, which can cause side effects or adverse events that are unrelated to our product candidate, but may still impact the success of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we may be forced to suspend marketing of that product, or decide to remove the product from the marketplace,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may withdraw or change their approvals of that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may require additional warnings on the label or limit access of that product to selective specialized centers with additional safety reporting and with requirements that patients be geographically close to these centers for all or part of their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create a medication guide outlining the risks of the product for patients, or to conduct post-marketing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change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be subject to fines, injunctions, or the imposition of criminal or civil penalties, or be sued and held liable for harm caused to subjects or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product may become less competitive, and our reputation may suffer. </w:t>
      </w:r>
    </w:p>
    <w:p>
      <w:pPr>
        <w:pStyle w:val="TextBody"/>
        <w:bidi w:val="0"/>
        <w:spacing w:before="240" w:after="283"/>
        <w:jc w:val="left"/>
        <w:rPr>
          <w:rFonts w:ascii="Times New Roman" w:hAnsi="Times New Roman"/>
          <w:sz w:val="20"/>
        </w:rPr>
      </w:pPr>
      <w:r>
        <w:rPr>
          <w:rFonts w:ascii="Arial" w:hAnsi="Arial"/>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Changes in product candidate manufacturing, formulation or analytical methods may result in additional costs or delay,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product candidates are developed through preclinical studies to later-stage clinical trials toward approval and future commercialization, it is common that various aspects of the development program, such as manufacturing methods, formulation or analytical methods, are altered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A variety of risks associated with conducting research and clinical trials abroad, including in China and Ukraine, and seeking to market our product candidates internationally, could materially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differing regulatory requirements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differing standards with respect to data integrity;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differing standards and privacy requirements for the conduct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increased difficulties in managing the logistics and transportation of storing and shipping product candidates to the patient at the relevant trial site abroad;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imposition of new laws and regulations, including those relating to labor conditions, quality, and safety standards, imports, duties, taxes, and other charges on imports, as well as trade restrictions, tariffs and restrictions on currency exchange or the transfer of funds;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difficulties staffing, workforce uncertainty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differing payor reimbursement regimes, governmental payors or patient self-pay systems and price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liability under the Foreign Corrupt Practices Act of 1977, or the FCPA, or comparable foreign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challenges with obtaining any local supply of drugs or agents used with our product candidates, which are required by certain local clinical trial sites before conducting any study;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business interruptions resulting from health epidemics or pandemics, or natural or man-made disasters, including earthquakes, tsunamis, fires, medical epidemics or geo-political developments, including war and terrorism;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observe local or international GCPs, including data integrity, rules leading to rejection of safety or effectiveness data by drug regulatory authorities;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observe local data privacy or security rules leading to prohibitions on data transfer. </w:t>
      </w:r>
    </w:p>
    <w:p>
      <w:pPr>
        <w:pStyle w:val="TextBody"/>
        <w:bidi w:val="0"/>
        <w:spacing w:before="240" w:after="283"/>
        <w:jc w:val="left"/>
        <w:rPr>
          <w:rFonts w:ascii="Times New Roman" w:hAnsi="Times New Roman"/>
          <w:sz w:val="20"/>
        </w:rPr>
      </w:pPr>
      <w:r>
        <w:rPr>
          <w:rFonts w:ascii="Arial" w:hAnsi="Arial"/>
          <w:color w:val="000000"/>
          <w:sz w:val="20"/>
        </w:rPr>
        <w:t>For example, our phase 1 healthy participant trial for OD-001 was conducted in Australia and we have enrolled patients in our phase 2a signal seeking monotherapy trial for OD-001 at multiple sites in Australia, Canada, Jordan, Moldova, New Zealand, Poland and Ukraine. We are also considering, subject to the receipt of necessary approvals from the applicable regulatory authorities, enrolling patients at sites in the Middle East and other jurisdictions globally for future clinical trials. To the extent military conflicts, political unrest, unstable economic conditions or other events adversely impact our ability to enroll patients or complete enrollments in process or adversely impact the ability of our suppliers to produce and distribute the supplies we need for our clinical trials, we may be required to enroll patients at other sites which could increase the cost or delay the timing for completing such trial.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also engaged CROs active in China and Ukraine to assist with discovery and research activities. Disruptions to our preclinical development programs or increased costs have in the past and may in the future result from changes in the policies of the U.S. or Chinese governments, political unrest, unstable economic conditions in China or Ukraine and disruption from the war in Ukraine. For example, a further trade war between the U.S. and China could lead to tariffs, legislation or regulations that impact our ability to continue relying on these CROs or increase the cost of doing so. Additionally, legislation and regulations, such as the BIOSECURE Act, could restrict our ability to enter into long-term commercial agreements with certain CMOs.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phase 1 healthy participant trial for OD-001 was conducted in Australia and we are conducting our phase 2a signal seeking trial for OD-001 in Australia, Canada, Jordan, Moldova, New Zealand, Poland and Ukraine. In addition, we currently intend to conduct additional future clinical trials in a number of countries around the world, including countries in the Middle East.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marketing approval in the United States, the FDA will generally not approve the application on the basis of foreign data alone unless (among other prerequisites) (i) the data are 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as inspection to be necessary, the FDA is able to validate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manufacturing process for any products that we may develop is subject to the FDA or comparable foreign regulatory authority approval process, and we currently, and will need to continue to, contract with manufacturers who can meet our and all applicable FDA or comparable foreign regulatory authority requirements on an ongoing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manufacturing process for any products that we may develop is subject to the FDA or comparable foreign authority approval process, and any contractors with which we contract for manufacturing must meet all applicable FDA or comparable foreign regulatory authority requirements on an ongoing basis. If we or our CMOs are unable to reliably produce products to specifications acceptable to the FDA or comparable foreign regulatory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restrictions and criminal prosecutions), delay approval of our product candidates, impair commercialization efforts,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results of operations and prospects. In addition, we could incur higher manufacturing costs if manufacturing processes or standards change, and we could need to replace, modify, design or build and install equipment, all of which would require additional capital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rely on third-party CMOs to manufacture and supply drug substance and drug product for our clinical trial for OD-001 and we expect to rely on third-party CMOs for our future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Reliance on third-party manufacturers entails exposure to risks to which we would not be subject if we manufactured our product candidates ourselves,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inability to negotiate manufacturing and quality agreements with third parties under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day-to-day control over the manufacturing process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control over the protection of our trade secrets and know-how from misappropriation or inadvertent disclosure;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termination or nonrenewal of manufacturing agreements with third parties in a manner or at a time that may be costly or damaging to us or result in delays in the development or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disruptions to the operations of our third-party manufacturers or suppliers caused by conditions unrelated to our business or operations, including the bankruptcy of the manufacturer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international or multi-national activities that are related to business activities outside of our scope, but may have an impact on a CMO’s ability to conduct business in a manner consistent with governmental or our regulatory and ethical standards;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synchronize operations and standards to ensure that all aspects of manufacturing are consistent without deviations across facilities.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recall, operating restrictions, suits under the civil False Claims Act, or FCA, corporate integrity agreements, consent decrees or withdrawal of product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intend to pursue the development of certain of our product candidates in combination with other therapies, and regulatory approval, safety or supply issues with these other therapies may delay or prevent the development and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explored and may continue to explore the use of certain of our product candidates in combination with other therapies, including those that may not yet be approved. For example, we are planning to assess, as part of a planned phase 2a combination basket trial, the effect of OD-001 in combination with vedolizumab and potentially other standard of care therapies.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While vedolizumab is approved by regulatory authorities in major markets, including the FDA and EMA, it has not received marketing approval in some countries where we intend to conduct our clinical trials. If we are unable to use the standard of care agents in our planned phase 2a combination trial for OD-001 in countries where the standard of care agents have not been approved or in any other clinical trial that includes a standard of care agent for a maintenance and induction period, we may be required to enroll additional patients at existing sites or identify new trial sites, resulting in potential delays in the trial and additional expenses. As a result, our clinical development activities could be delayed or otherwise adversely affected,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color w:val="000000"/>
          <w:sz w:val="20"/>
        </w:rPr>
        <w:t>Risks Related to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any future issued patents will afford sufficient protection of our product candidates or their intended uses against competitors, nor can we assure you that the patents issued will not be infringed, designed around or invalidated by third parties, or that we can effectively prevent others from commercializing competitive technologies, products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Obtaining and enforcing patents is expensive and time-consuming, and we may not be able to file, prosecute, maintain, enforce or license all necessary or desirable patent applications or maintain or enforce patents that may issue based on our patent applications, at a reasonable cost or in a timely manner. Public disclosures by us or third parties may preclude our ability to obtain or maintain patent applications and patents. It is also possible that we will fail to identify patentable aspects of our research and development results before it is too late to obtain patent protection. Although we enter into non-disclosure and confidentiality agreements with parties who have access to confidential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 We may also depend on current or future collaborators or licensors to take necessary action to comply with patent protection requirements with respect to any licensed intellectual property. Noncompliance with such requirements could result in abandonment or lapse of the patent or patent application, resulting in partial or complete loss of patent rights in the relevant jurisdiction.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or the USPTO, or by patent offices in foreign countries, or that the claims in any of our issued patents will be considered valid and enforceable by courts in the United States or foreign countries. Method of use patents protect the use of a product for the methods claimed in the patents. This type of patent does not prevent a competitor from making and marketing a product that is identical to our product candidates for an indication that is outside the scope of the patented method. Moreover, even if competitors do not actively promote their product for our patented indications, clinicians may prescribe these products “off-label.” Although off-label prescriptions may infringe or contribute to the infringement of method of use patents, the practice is common and such infringement is difficult to prevent or prosecute.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uncertainty as to the ability to enforce patent rights in the future. As a result, the issuance, scope, validity, enforceability and commercial value of any patent rights are highly uncertain. Our pending and future owned or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patent application process is subject to numerous risks and uncertainties, and there can be no assurance that we (or any collaborators or licensors) will be successful in protecting our product candidates by obtaining and defending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patents. For example, we may not be aware of all third-party intellectual property rights potentially relating to our product candidates or their intended uses, and as a result the impact of such third-party intellectual property rights upon the patentability of our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patent rights are highly uncertain.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issuance of a patent is not conclusive as to its inventorship, scope, validity or enforceability and our pending patent applications, and those of any collaborators or licensors, may be challenged in the USPTO or patent offices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challenging our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third party may also claim that our current or future owned or licensed patent rights are invalid or unenforceable in a litigation. The outcome following legal assertions of invalidity and unenforceability is unpredictable. An adverse result in any legal proceeding could put one or more of our current or future owned or in-licensed patents at risk of being invalidated or interpreted narrowly and could allow third parties to commercialize our products and compete directly with us, without payment to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also rely upon a combination of trade secrets, know-how and confidentiality agreements to protect the intellectual property related to our product candidates and technologies and to prevent third parties from copying and surpassing our achievements, thus eroding our competitive position in our market.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cannot ensure that patent rights relating to inventions described and claimed in our pending patent applications will issue, or that patents that issue in the future will not be challenged and rendered invalid or unenforceable.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We have several patent applications in our portfolio; however, we cannot predict: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if and when patents may issue based on our patent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protection of any patent issuing based on our patent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the claims of any issued patent will provide protection against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or not third parties will find ways to invalidate or circumvent our patent rights;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we will need to initiate litigation or administrative proceedings to enforce and/or defend our patent rights which will be costly whether we win or lose;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the patent applications will result in issued patents with claims that cover each of our product candidates or uses thereof in the United States or in other foreign countries. </w:t>
      </w:r>
    </w:p>
    <w:p>
      <w:pPr>
        <w:pStyle w:val="TextBody"/>
        <w:bidi w:val="0"/>
        <w:spacing w:before="240" w:after="283"/>
        <w:jc w:val="left"/>
        <w:rPr>
          <w:rFonts w:ascii="Times New Roman" w:hAnsi="Times New Roman"/>
          <w:sz w:val="20"/>
        </w:rPr>
      </w:pPr>
      <w:r>
        <w:rPr>
          <w:rFonts w:ascii="Arial" w:hAnsi="Arial"/>
          <w:color w:val="000000"/>
          <w:sz w:val="20"/>
        </w:rPr>
        <w:t>We may be subject to a third-party pre-issuance submission of prior art to the USPTO or become involved in PGR procedures, oppositions, derivations, revocation, reexaminations,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pending and future patent applications may not result in patents being issued that protect our product candidates, in whole or in part, or which effectively prevent others from commercializing competitive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 derivation proceeding in the United States can be initiated by a third party to determine who invented any of the subject matter covered by the claims of our patent applications. Therefore, we cannot be certain that we were the first to make the inventions claimed in our patents or pending patent applications, or that we were the first to file for patent protection of such inventions.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future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not be successful in obtaining or maintaining necessary rights to develop current and any future product candidates on acceptable terms.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Because some of our programs may involve additional product candidates that may require the use of proprietary rights held by third parties, the growth of our business may depend in part on our ability to acquire, in-license or use these proprietary rights. Our product candidates also may require specific formulations to work effectively and efficiently and these rights may be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we may have limited control over the maintenance and prosecution of any current or future in-licensed intellectual property. A licensor may not successfully prosecute any patent applications to which we are licensed in a manner consistent with the best interests of our business. We may also have limited control over the manner in which any licensor initiates an infringement proceeding against a third-party infringer or defends any intellectual property that is licensed to us. It is possible that a licensor’s infringement proceeding or defense activities may be less vigorous than those we would have conducted ourselves. We may also enter into future license agreements under which we are a sub-licensee. If any sub-licensor fails to comply with its obligations under its upstream license agreement with its licensor, the licensor may have the right to terminate the upstream license, which could terminate the sub-license. If this were to occur, we would no longer have rights to the applicable intellectual property unless we are able to secure our own direct license with the owner of the relevant rights, which we may not be able to do on reasonable terms,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Additionally, we sometimes collaborate with academic institutions and governmental authorities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financial condition, results of operations and prospects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Any product candidates licensed from third parties may be subject to retained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Third-parties who have collaborated with us by contributing intellectual property or with whom we may collaborate with or license intellectual property from in the future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may also at times choose to collaborate with academic institutions to accelerate our preclinical research or development.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Our commercial success depends significantly on our ability to operate without infringing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Third parties may assert that we are employing their proprietary technology without authorization and may sue us for patent or other intellectual property infringement. These lawsuits are costly and could adversely affect our business, financial condition, results of operations and prospects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enter into licensing arrangements or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results of operations and prospects.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be involved in lawsuits to protect or enforce our patents or other intellectual property, which could be expensive, time-consuming and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Competitors or other third parties may infringe our patents, trademarks or other intellectual property, or those of our collaborators or licensing partners.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In addition, the U.S. Supreme Court recently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may not be able to detect infringement against our future owned or in-licensed patents, as the case may be, which may be especially difficult for manufacturing processes or formulation patents. Even if we detect infringement by a third party of our future 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future owned or in-licensed patents, as the case may be, against such third party.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another party questions the patentability of any of our claims in our future owned or in-licensed U.S. patents, the third party can request that the USPTO review the patent claims such as in an IPR, 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future owned or in-licensed foreign patents are challenged.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become subject to claims challenging the inventorship or ownership of our patents and other intellectual property or claims asserting that our employees, consultants or advisors have wrongfully used or disclosed alleged trade secrets of their current or former employers.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may be subject to claims that former employees, collaborators or other third parties have an interest in our patents or other intellectual property, or those of our collaborators or licensors, as an inventor or co-inventor. The failure to name the proper inventors on a patent application can result in the patents issuing thereon being unenforceable or invalid.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financial condition, results of operations and prospects. Even if we are successful in defending against such claims, litigation could result in substantial costs and be a distraction to management and other 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light of the advent of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validity and/or enforceability of our future patents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Patent terms may be inadequate to protect our competitive position on products or product candidates for an adequate amount of time. If we do not obtain patent term extension for our product candidates, our business may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any patents we may own or license may not provide us with sufficient and continuing rights to exclude others from commercializing products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Depending upon the timing, duration and specifics of any FDA marketing approval of any of our product candidates, any issued U.S. patents that we may own in the future may be eligible for limited patent term restoration, or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in Europe under a Supplemental Protection Certificate.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competing products following our patent expiration,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Changes in patent law in the United States and other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AIA, signed into law on September 16, 2011,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and patents that we might obtain in the future. For example, in the case, </w:t>
      </w:r>
      <w:r>
        <w:rPr>
          <w:rFonts w:ascii="Arial" w:hAnsi="Arial"/>
          <w:i/>
          <w:color w:val="000000"/>
          <w:sz w:val="20"/>
        </w:rPr>
        <w:t>Assoc. for Molecular Pathology v. Myriad Genetics, Inc.</w:t>
      </w:r>
      <w:r>
        <w:rPr>
          <w:rFonts w:ascii="Arial" w:hAnsi="Arial"/>
          <w:color w:val="000000"/>
          <w:sz w:val="20"/>
        </w:rPr>
        <w:t xml:space="preserve">, the U.S. Supreme Court held that claims to certain DNA molecules are not patentable. In </w:t>
      </w:r>
      <w:r>
        <w:rPr>
          <w:rFonts w:ascii="Arial" w:hAnsi="Arial"/>
          <w:i/>
          <w:color w:val="000000"/>
          <w:sz w:val="20"/>
        </w:rPr>
        <w:t>Amgen Inc. v. Sanofi</w:t>
      </w:r>
      <w:r>
        <w:rPr>
          <w:rFonts w:ascii="Arial" w:hAnsi="Arial"/>
          <w:color w:val="000000"/>
          <w:sz w:val="20"/>
        </w:rPr>
        <w:t>, the Federal Circuit held that claims with functional language may pose high hurdles in fulfilling the enablement requirement.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cannot predict future changes in the interpretation of patent laws or changes to patent laws that might be enacted into law by U.S. and foreign legislative bodies. For example, the IRA passed by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Under recent legislative updates via the One Big Beautiful Bill Act, or the OBBBA, medicines that maintain one or more FDA orphan designations for rare diseases are exempt from this negotiation process, provided they are not approved for a non-orphan condition. Furthermore, if an exempt orphan medicine is subsequently approved for a broader, non-rare market indication, the 7-year negotiation countdown does not begin until the date of that non-orphan approval. While we do not believe that the IRA, these expanded orphan drug exemptions, or their combined effects will impact our ability to obtain patents in the near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future, we cannot be certain whether it will affect our patent strategy in the long run. The laws and regulations governing patents could change in unpredictable ways that would weaken our ability to obtain new patents or to enforce our existing patent and the patents we might obtain or license in the future. Additionally, in July 2025, the FDA announced its intent to increase transparency by publicly releasing portions of Complete Response Letters, or CRLs, issued to drug and biologic sponsors. While the FDA has stated that confidential information will be protected, it remains unclear how these disclosures will be implemented. Because CRLs often contain specific observations about study design, clinical endpoints, chemistry, manufacturing, and controls data, or other proprietary information, any public release could unintentionally disclose information that competitors may use to infer proprietary aspects of our product candidates or platform technologies. This could compromise the confidentiality of our trade secrets and know-how or facilitate third-party efforts to design around or challenge the validity, enforceability, or scope of our patents, or accelerate the development of generics or biosimilars. If we are required to modify or limit the information shared with the FDA to mitigate these risks, it could increase costs, slow our regulatory interactions, or delay product approval timelines.</w:t>
      </w:r>
    </w:p>
    <w:p>
      <w:pPr>
        <w:pStyle w:val="TextBody"/>
        <w:bidi w:val="0"/>
        <w:spacing w:before="240" w:after="283"/>
        <w:jc w:val="left"/>
        <w:rPr>
          <w:rFonts w:ascii="Times New Roman" w:hAnsi="Times New Roman"/>
          <w:sz w:val="20"/>
        </w:rPr>
      </w:pPr>
      <w:r>
        <w:rPr>
          <w:rFonts w:ascii="Arial" w:hAnsi="Arial"/>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significantly impacts European patents, including those granted before the introduction of the system. Under the Unitary Patent system, after a European patent is granted, the default is that the patent will be a part of the Unitary Patent system, thereby resulting in a Unitary Patent having unitary effect; the patent proprietor, however, can, in some instances, opt out of the Unitary Patent system and opt for the traditional state-by-state national validation instead. Each Unitary Patent is subject to the jurisdiction of the Unitary Patent Court, or UPC. As the UPC is a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those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 Additionally, changes in U.S. trade policy, including the imposition of new or increased tariffs, as well as retaliatory measures by other countries, could adversely affect our patent strategy, such as where we choose to file, maintain, or enforce our patents. Also, if we are required to move our research or manufacturing activities to new regions, this may expose us to jurisdictions with weaker intellectual property enforcement, differing patent eligibility standards, or greater risk of compulsory licensing. These factors could compromise the protection or value of our proprietary technologies, including our core patents and related know-how.</w:t>
      </w:r>
    </w:p>
    <w:p>
      <w:pPr>
        <w:pStyle w:val="TextBody"/>
        <w:bidi w:val="0"/>
        <w:spacing w:before="240" w:after="283"/>
        <w:jc w:val="left"/>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to the protection afforded by patents, we rely on trade secret protection and confidentiality agreements to protect proprietary information and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or information. If a competitor independently develops a technology that we protect as a trade secret and files a patent application on that technology, then we may not be able to patent that technology in the future and we may require a license from the competitor to use our own technology or know-how. If the license is not available on commercially viable terms, then we may not be able to launch our product candidate. Additionally, trade secrets can be difficult to protect and some courts inside and outside the United States are less willing or unwilling to protect trade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Monitoring unauthorized uses and disclosures is difficult and we do not know whether the steps we have taken to protect our proprietary technologies will be effective. Further, if the parties to our confidentiality agreements breach or violate the terms of these agreements, we may not have adequate remedies for any such breach or violation, and we could lose our trade secrets as a consequence of those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 or if we otherwise lose protection for our trade secrets, our business, financial condition, results of operation and prospects may be materially and adversely harmed.</w:t>
      </w:r>
    </w:p>
    <w:p>
      <w:pPr>
        <w:pStyle w:val="TextBody"/>
        <w:bidi w:val="0"/>
        <w:spacing w:before="240" w:after="283"/>
        <w:jc w:val="left"/>
        <w:rPr>
          <w:rFonts w:ascii="Arial" w:hAnsi="Arial"/>
          <w:color w:val="000000"/>
          <w:sz w:val="20"/>
        </w:rPr>
      </w:pPr>
      <w:r>
        <w:rPr>
          <w:rFonts w:ascii="Arial" w:hAnsi="Arial"/>
          <w:color w:val="00000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left"/>
        <w:rPr>
          <w:rFonts w:ascii="Times New Roman" w:hAnsi="Times New Roman"/>
          <w:sz w:val="20"/>
        </w:rPr>
      </w:pPr>
      <w:r>
        <w:rPr>
          <w:rFonts w:ascii="Arial" w:hAnsi="Arial"/>
          <w:b/>
          <w:i/>
          <w:color w:val="000000"/>
          <w:sz w:val="20"/>
        </w:rPr>
        <w:t>If our trademarks and trade names are not adequately protected, then we may not be able to build brand and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registered or unregistered trademarks or trade names may be challenged, infringed, circumvented, declared merely descriptive or generic or determined to be infringing on other marks. The use of our registered and unregistered marks may also be limited by certain agreements with third parties. During trademark registration proceedings, we may receive rejections of our applications by the USPTO or in other foreign jurisdictions. Although we are given an opportunity to respond to those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result in our trademarks not surviving those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may not be able to protect our rights to these trademarks and trade names, which we need to build brand and name recognition among potential partners or future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brand and name recognition based on our trademarks and trade names, then we may not be able to compete effectively and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The use of new and evolving technologies, such as AI, may require us to expend material resources and may present risks and challenges that can impact our business, including by posing security and other risks to our confidential information, proprietary information and personal information, any of which may result in reputational harm and liability, or otherwise adversely affect our business.</w:t>
      </w:r>
    </w:p>
    <w:p>
      <w:pPr>
        <w:pStyle w:val="TextBody"/>
        <w:bidi w:val="0"/>
        <w:spacing w:before="240" w:after="283"/>
        <w:jc w:val="left"/>
        <w:rPr>
          <w:rFonts w:ascii="Times New Roman" w:hAnsi="Times New Roman"/>
          <w:sz w:val="20"/>
        </w:rPr>
      </w:pPr>
      <w:r>
        <w:rPr>
          <w:rFonts w:ascii="Arial" w:hAnsi="Arial"/>
          <w:color w:val="000000"/>
          <w:sz w:val="20"/>
        </w:rPr>
        <w:t>We use AI, including generative artificial intelligence, or Gen AI, ML, and automated decision-making technologies. The use of AI technology, including Gen AI, can give rise to intellectual property risks, including uncertainty regarding ownership of AI-generated inventions, compromises to proprietary IP, inaccuracy, bias, data privacy and cybersecurity issues, data provenance disputes, and infringement or misappropriation claims. The legal landscape for AI-generated inventions remains uncertain, and development of the law in the U.S. and abroad could impact our ability to enforce proprietary rights or protect against infringing uses. Depending on actions by the U.S. Congress, the federal courts and the USPTO, the laws and regulations governing patents could change in unpredictable ways that would weaken our ability to obtain new patents or to enforce patents.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AI, including Gen AI, may have errors or inadequacies that are not easily detectable. If the data used to train AI or the content AI applications assist in producing are deficient, inaccurate, or biased, our business may be adversely affected. We expect increasing government regulation of AI use (including the EU’s AI Act which entered into force on August 1, 2024), which may significantly increase compliance costs. This legislation imposes significant obligations on providers and deployers of AI systems. The legal landscape for AI-related intellectual property remains uncertain, and development of the law could impact our ability to enforce proprietary rights.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rapid evolution of AI (including Gen AI) may require the application of significant resources to design, develop, test and maintain these products and services to help ensure that any AI is implemented in accordance with applicable law and regulation and in a socially responsible manner and to minimize any real or perceived unintended harmful impacts. We also may need to expend further resources to adjust our business practices, as these laws and regulations evolve, especially where requirements across jurisdictions are inconsistent. An increase in operating expenses of this nature, as well as any actual or perceived failure to comply with such laws and regulations, could materially and adversely affect our business, financial condition, results of operations, and prospects.</w:t>
      </w:r>
    </w:p>
    <w:p>
      <w:pPr>
        <w:pStyle w:val="TextBody"/>
        <w:bidi w:val="0"/>
        <w:spacing w:before="240" w:after="283"/>
        <w:jc w:val="left"/>
        <w:rPr>
          <w:rFonts w:ascii="Arial" w:hAnsi="Arial"/>
          <w:color w:val="000000"/>
          <w:sz w:val="20"/>
        </w:rPr>
      </w:pPr>
      <w:r>
        <w:rPr>
          <w:rFonts w:ascii="Arial" w:hAnsi="Arial"/>
          <w:color w:val="000000"/>
          <w:sz w:val="20"/>
        </w:rPr>
        <w:t>Our vendors or partners may in turn incorporate AI tools (including Gen AI)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Gen AI, to engage in illegal activities involving the theft and misuse of personal information, financial and other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240" w:after="283"/>
        <w:jc w:val="left"/>
        <w:rPr>
          <w:rFonts w:ascii="Arial" w:hAnsi="Arial"/>
          <w:color w:val="000000"/>
          <w:sz w:val="20"/>
        </w:rPr>
      </w:pPr>
      <w:r>
        <w:rPr>
          <w:rFonts w:ascii="Arial" w:hAnsi="Arial"/>
          <w:color w:val="000000"/>
          <w:sz w:val="20"/>
        </w:rPr>
        <w:t>Any future proprietary technology platform may not yield protectable intellectual property. The components of such a platform, including proprietary hardware, software, and computational methods, may be difficult to protect through traditional patent means. Data rights and computational IP present unique challenges including potential for independent development by competitors using similar datasets or methodologies.</w:t>
      </w:r>
    </w:p>
    <w:p>
      <w:pPr>
        <w:pStyle w:val="TextBody"/>
        <w:bidi w:val="0"/>
        <w:spacing w:before="240" w:after="283"/>
        <w:jc w:val="left"/>
        <w:rPr>
          <w:rFonts w:ascii="Times New Roman" w:hAnsi="Times New Roman"/>
          <w:sz w:val="20"/>
        </w:rPr>
      </w:pPr>
      <w:r>
        <w:rPr>
          <w:rFonts w:ascii="Arial" w:hAnsi="Arial"/>
          <w:b/>
          <w:i/>
          <w:color w:val="000000"/>
          <w:sz w:val="20"/>
        </w:rPr>
        <w:t>Intellectual property rights do not necessarily address all potential threats to our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others may be able to develop products that are similar to our product candidates but that are not covered by the claims of our patent applications and any patents that we may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collaborators might not have been the first to make the inventions covered by the issued patents or patent application that we may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it is possible that the pending patent applications we own or license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issued patents that we may own or license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patents of others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fail to adequately protect and police our trademarks and trade secrets;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choose not to file a patent application in order to maintain certain trade secrets or know-how, and a third party may subsequently file a patent application covering such intellectual property. </w:t>
      </w:r>
    </w:p>
    <w:p>
      <w:pPr>
        <w:pStyle w:val="TextBody"/>
        <w:bidi w:val="0"/>
        <w:spacing w:before="240" w:after="283"/>
        <w:jc w:val="left"/>
        <w:rPr>
          <w:rFonts w:ascii="Times New Roman" w:hAnsi="Times New Roman"/>
          <w:sz w:val="20"/>
        </w:rPr>
      </w:pPr>
      <w:r>
        <w:rPr>
          <w:rFonts w:ascii="Arial" w:hAnsi="Arial"/>
          <w:color w:val="000000"/>
          <w:sz w:val="20"/>
        </w:rPr>
        <w:t>Should any of these events occur, it could significantly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have limited foreign intellectual property rights and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this type of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access to our proprietary information and we may be without satisfactory recourse. Disclosure of this nature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Even if we are able to commercialize any product candidates, those products may become subject to unfavorable pricing regulations, third-party reimbursement practices or healthcare reform initiatives, which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regulations that govern marketing approvals, pricing and reimbursement for new drug products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are able to generate from the sale of the product in that particular country. Adverse pricing limitations may hinder our ability to recoup our investment in one or more product candidates, even if our product candidates obtain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Coverage and reimbursement may be limited or unavailable in certain market segments for our product candidates, if approved, which could make it difficult for us to sell any product candidates profitably.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 covered benefit under its health plan;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safe, effective and medically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appropriate for the specific patient;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cost-effective;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neither experimental nor investigational. </w:t>
      </w:r>
    </w:p>
    <w:p>
      <w:pPr>
        <w:pStyle w:val="TextBody"/>
        <w:bidi w:val="0"/>
        <w:spacing w:before="240" w:after="283"/>
        <w:jc w:val="left"/>
        <w:rPr>
          <w:rFonts w:ascii="Times New Roman" w:hAnsi="Times New Roman"/>
          <w:sz w:val="20"/>
        </w:rPr>
      </w:pPr>
      <w:r>
        <w:rPr>
          <w:rFonts w:ascii="Arial" w:hAnsi="Arial"/>
          <w:color w:val="000000"/>
          <w:sz w:val="20"/>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Specifically, the Centers for Medicare &amp; Medicaid Services, or CMS, imposes rebates on many Medicare Part B and Medicare Part D products to penalize price increases that outpace inflation on an annual basis. The Department of Health and Human Services, or HHS, has also been empowered to negotiate the price of certain single-source drugs that have been on the market for at least seven years and single-source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and potential negative pricing effects in other market channels, on a per unit basis.</w:t>
      </w:r>
    </w:p>
    <w:p>
      <w:pPr>
        <w:pStyle w:val="TextBody"/>
        <w:bidi w:val="0"/>
        <w:spacing w:before="240" w:after="283"/>
        <w:jc w:val="left"/>
        <w:rPr>
          <w:rFonts w:ascii="Times New Roman" w:hAnsi="Times New Roman"/>
          <w:sz w:val="20"/>
        </w:rPr>
      </w:pPr>
      <w:r>
        <w:rPr>
          <w:rFonts w:ascii="Arial" w:hAnsi="Arial"/>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related to research and development, manufacturing and sale and distribution efforts.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fraud and abuse and other healthcare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the federal Anti-Kickback Statute, which prohibits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civil and criminal false claims laws, including the FCA, which prohibit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furthermore, HIPAA, as amended by the Health Information Technology for Economic and Clinical Health Act, or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federal price reporting laws, which require manufacturers to calculate and report complex pricing metrics to government programs that may be used in the calculation of reimbursement or discounts on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 </w:t>
      </w:r>
    </w:p>
    <w:p>
      <w:pPr>
        <w:pStyle w:val="TextBody"/>
        <w:bidi w:val="0"/>
        <w:spacing w:before="240" w:after="283"/>
        <w:jc w:val="left"/>
        <w:rPr>
          <w:rFonts w:ascii="Times New Roman" w:hAnsi="Times New Roman"/>
          <w:sz w:val="20"/>
        </w:rPr>
      </w:pPr>
      <w:r>
        <w:rPr>
          <w:rFonts w:ascii="Arial" w:hAnsi="Arial"/>
          <w:color w:val="000000"/>
          <w:sz w:val="20"/>
        </w:rPr>
        <w:t>The distribution of pharmaceutical products is subject to additional requirements and regulations, including extensive licensing, record keeping, storage and security requirements intended to prevent the unauthorized sale of pharmaceutical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attempt to seek approval from the FDA for one or more of our product candidates through the use of the accelerated approval pathway. If we are unable to obtain accelerated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may in the future seek an accelerated approval for one or more of our product candidates. Under the accelerated approval pathway, the FDA may approve a product candidate for a serious or life-threatening disease or condition with unmet medical need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benefit. Products granted accelerated approval are subject to certain post-marketing requirements, which typically include a requirement to conduct one or more post-approval studies to confirm the clinical benefit of the product. In addition, during the pre-approval review period, FDA regulations require that sponsors of products granted accelerated approval submit copies of all promotional materials intended to be used within 120 days following marketing approval. After 120 days following marketing approval, unless otherwise informed by the FDA, the sponsor must submit all promotional materials at least 30 days prior to use. There can be no assurance that we will be able to use the accelerated approval pathway or any other form of expedited development, review or approval for any of our product candidates. For example,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Also, if any of our competitors were to receive full approval for an indication for which we are seeking accelerated approval before we receive accelerated approval for any one of our product candidates, the indication we are seeking may no longer qualify as a condition for which there is an unmet medical need, and our product candidate may become ineligible for accelerated approval.</w:t>
      </w:r>
    </w:p>
    <w:p>
      <w:pPr>
        <w:pStyle w:val="TextBody"/>
        <w:bidi w:val="0"/>
        <w:spacing w:before="240" w:after="283"/>
        <w:jc w:val="left"/>
        <w:rPr>
          <w:rFonts w:ascii="Times New Roman" w:hAnsi="Times New Roman"/>
          <w:sz w:val="20"/>
        </w:rPr>
      </w:pPr>
      <w:r>
        <w:rPr>
          <w:rFonts w:ascii="Arial" w:hAnsi="Arial"/>
          <w:color w:val="000000"/>
          <w:sz w:val="20"/>
        </w:rPr>
        <w:t>A failure to obtain accelerated approval would result in a longer time period to commercialization of such product candidate, if any,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seek a Breakthrough Therapy or Fast Track designation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the disease or condition. Fast Track designation applies to the combination of the product and the specific indication for which it is being studied.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The FDA has broad discretion as to whether or not to grant Breakthrough Therapy or Fast Track designation to any product candidate. Accordingly, even if we believe that a product candidate meets the criteria for designation as a Breakthrough Therapy or a Fast Track designation, the FDA may disagree and instead determine not to make such a designation. Even if we receive a Breakthrough Therapy or Fast Track designation, the receipt of that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for the Fast Track program, the FDA may later decide that it no longer meets the conditions for qualification or decide that the time period for FDA review or approval will not be shortened. The failure to obtain a Breakthrough Therapy or Fast Track designation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Further,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240" w:after="283"/>
        <w:jc w:val="left"/>
        <w:rPr>
          <w:rFonts w:ascii="Arial" w:hAnsi="Arial"/>
          <w:color w:val="000000"/>
          <w:sz w:val="20"/>
        </w:rPr>
      </w:pPr>
      <w:r>
        <w:rPr>
          <w:rFonts w:ascii="Arial" w:hAnsi="Arial"/>
          <w:color w:val="000000"/>
          <w:sz w:val="20"/>
        </w:rPr>
        <w:t>The current administration is pursuing policies to reduce regulations and expenditures across government agencies including at HHS, the FDA, CMS and related agencies. These actions, presently directed by executive orders, memoranda or proposed rules from the Office of Management and Budget, may propose policy changes that create additional uncertainty for our business. For example, the current administration has announced agreements with several pharmaceutical companies that require the drug manufacturers to offer Most-Favored Nation pricing equal to or lower than those paid in other developed nations for certain prescription drugs under Medicaid and for certain newly launched products across all market channels in the U.S., with additional mandates for direct-to-patient discounts through a direct to consumer platform, or TrumpRx, and repatriation of certain foreign revenues. In late 2025, HHS proposed three payment models that would test MFN pricing in Medicaid, Medicare Part D, and Medicare Part B. On November 6, 2025, CMS announced the “GENErating cost Reductions fOr U.S.”, or GENEROUS, model under which manufacturers can provide MFN pricing to state Medicaid agencies on a voluntary basis. On December 19, 2025, CMS published proposed rules for two mandatory drug pricing models for Medicare: the “GlobalBenchmark for Efficient Drug Pricing”, or GLOBE, model for products payable under Medicare Part B and the “GuardingU.S. Medicare Against Rising Drug Costs”, or GUARD, model for products covered under Medicare Part D. If GLOBE and GUARD are finalized, pharmaceutical manufacturers would be required to pay MFN-based rebates on eligible products for 25% of eligible Medicare beneficiaries during the applicable testing period.</w:t>
      </w:r>
    </w:p>
    <w:p>
      <w:pPr>
        <w:pStyle w:val="TextBody"/>
        <w:bidi w:val="0"/>
        <w:spacing w:before="240" w:after="283"/>
        <w:jc w:val="left"/>
        <w:rPr>
          <w:rFonts w:ascii="Times New Roman" w:hAnsi="Times New Roman"/>
          <w:sz w:val="20"/>
        </w:rPr>
      </w:pPr>
      <w:r>
        <w:rPr>
          <w:rFonts w:ascii="Arial" w:hAnsi="Arial"/>
          <w:color w:val="000000"/>
          <w:sz w:val="20"/>
        </w:rPr>
        <w:t>In addition, the current administration has taken other action that could affect our business such as (1) directing agencies to reduce agency workforce and cut programs; (2) directing HHS and other agencies to lower prescription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 xml:space="preserve">drug costs through a variety of initiatives; (3) considering the imposition of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Arial" w:hAnsi="Arial"/>
          <w:i/>
          <w:color w:val="000000"/>
          <w:sz w:val="20"/>
        </w:rPr>
        <w:t>Loper Bright</w:t>
      </w:r>
      <w:r>
        <w:rPr>
          <w:rFonts w:ascii="Times New Roman" w:hAnsi="Times New Roman"/>
          <w:color w:val="000000"/>
          <w:sz w:val="20"/>
        </w:rPr>
        <w:t xml:space="preserve"> </w:t>
      </w:r>
      <w:r>
        <w:rPr>
          <w:rFonts w:ascii="Arial" w:hAnsi="Arial"/>
          <w:color w:val="000000"/>
          <w:sz w:val="20"/>
        </w:rPr>
        <w:t>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240" w:after="283"/>
        <w:jc w:val="left"/>
        <w:rPr>
          <w:rFonts w:ascii="Times New Roman" w:hAnsi="Times New Roman"/>
          <w:sz w:val="20"/>
        </w:rPr>
      </w:pPr>
      <w:r>
        <w:rPr>
          <w:rFonts w:ascii="Arial" w:hAnsi="Arial"/>
          <w:color w:val="000000"/>
          <w:sz w:val="20"/>
        </w:rPr>
        <w:t>We expect these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It is unclear what impact, if any, the current presidential administration may have on such measures.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Even if we receive marketing approval for our current or future product candidates in the United States, we may never receive regulatory approval to market our product candidates outside of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plan to seek regulatory approval of our current or future product candidates outside of the United States in the future.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U.S. Congress, the current presidential administration or any new administration may make substantial changes to fiscal, tax, healthcare, trade and other federal policies that may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Changes to U.S. policy implemented by the U.S. Congress and new presidential administrations, including the current administration, have impacted and will in the future impact, among other things, the U.S. and global economy, international trade relations, unemployment, immigration, healthcare, taxation, the U.S. regulatory environment, inflation and other areas. For example, since the newest presidential administration has taken office, it has taken significant steps to, among other things, freeze some federal funding and reduce the size of the federal workforce. In addition, the current presidential administration has announced new tariffs on imported materials and goods from certain foreign countries, including Canada, Mexico and China. It is not possible to predict the outcome of this congressional, executive or regulatory activity, any of which could adversely affect us. Similarly, we cannot predict whether pending or future federal or state legislation or court proceedings will change various aspects of current government programs, nor can we predict the impact any changes of this nature will have on our business operations or financial results, but the effects could be materially adverse. In addition, changes in the leadership of the FDA and other federal agencies under the current presidential administration may result in changes in the funding,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and policies of the FDA and other federal agencies, which may negatively impact, among other things, our clinical development plans, timelines and the cost of product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increasing use of social media platforms presents new risks and challenges.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Social media is increasingly being used to communicate about clinical development programs and the diseases our product candidates are being developed to treat. We may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disclosures of this nature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expect our non-U.S.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expand our operations outside of the United States, we must dedicate additional resources to comply with numerous laws and regulations in each jurisdiction in which we plan to operate. 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failure to comply with Trade Laws may result in substantial civil and criminal fines and penalties, imprisonment, the loss of trade privileges, suspension or debarment from government contracting, reputational harm and other consequences. The Securities and Exchange Commission, or the SEC, also may suspend or bar issuers from trading securities on U.S. exchanges for violations of the FCPA’s accounting provisions.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Further, the current presidential administration has undertaken efforts to reduce the size and spending of the federal government. As part of this initiative, the administration has taken action aimed at reducing the workforce of the federal government and eliminating other expenditures, such as facility leases used by the federal government and its component agencies. While these and other actions taken by the current presidential administration could be viewed as a part of a larger goal of de-regulation, a consequence of these developments and other actions taken by the current presidential administration generally could be reduced resources, employees and contractors at the FDA. In addition, these efforts have led to a number of experienced government officials being fired, resigning from or otherwise departing government service, including many with significant institutional knowledge.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Disruptions at the FDA and other agencies may also slow the time necessary for new drugs to be reviewed or approved by necessary government agencies, which would adversely affect our business, financial condition, results of operations and prospects. For example, over the last several years, the U.S. government has shut down several times, including most recently for an extended period in 2025, and certain regulatory agencies, such as the FDA, have had to furlough critical employees and stop critical activities. If another prolonged government shutdown occurs or there are other changes which limit the FDA’s ability to perform its necessary activities in a timely manner, it could significantly impact the ability of the FDA to timely review and process our regulatory submissions, which could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Data Privacy and Information Security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our information technology systems, or those used by our CROs, CMOs, clinical sites or other vendors, contractors or consultants with whom we work, or our data, are or were compromised, we could experience adverse consequences resulting from such compromise, including but not limited to regulatory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investigations or action, litigation, fines and penalties, disruptions of our business operations, reputational harm and other adverse consequences.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the ordinary course of our business, we, and the third parties with whom we work, collect, receive, store, process, generate, use, transfer, disclose, make accessible, protect, secure, dispose of, transmit and share, which we collectively refer to as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which we collectively refer to as sensitive data. As a result, we and the third parties with whom we work face a variety of evolving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information technology systems and those of our CROs, CMOs, clinical sites and other vendors, contractors and consultants with whom we work are vulnerable to cyberattacks, computer viruses, bugs, worms or other malicious codes, malware (including as a result of advanced persistent threat intrusions) and other attacks by computer hackers, brute force attacks, application security attacks, social engineering (including through deep fakes, which may be increasingly more difficult to identify as fake, and phishing attacks), supply chain attacks and vulnerabilities through our third-party service providers, denial-of-service attacks, credential stuffing, credential harvesting, personnel misconduct or error, supply-chain attacks, software bugs, server malfunctions, software or hardware failures, loss of data or other information technology assets, adware, attacks facilitated or enhanced by AI, telecommunications failures, earthquakes, fires, floods and other similar threats. Remote work has increased these risks to our information technology systems and sensitive data, as our employees utilize network connections, computers and devices outside our premises or network, including working at home, while in transit, and in public locations.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These types of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and severe and can lead to significant interruptions, delays or outages in our operations, loss of sensitive data,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During times of war and other major conflicts, we and the third parties with whom we work may be vulnerable to a heightened risk of attacks for geopolitical reasons, including retaliatory cyberattacks, that could materially disrupt our systems and operations, supply chain and ability to continue our research and development efforts or produce, sell and distribute our product candidates, if approved. For example, certain third parties with whom we work to support our business are located in potentially unstable regions and regions experiencing (or expected to experience) geopolitical or other conflicts, including Ukraine, which was attacked by Russia in February 2022 through various means, including cyberattacks. 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 issues that were not found during due diligence of such acquired entities, and it may be difficult to integrate companies into our information technology environment and security program.</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left"/>
        <w:rPr>
          <w:rFonts w:ascii="Times New Roman" w:hAnsi="Times New Roman"/>
          <w:sz w:val="20"/>
        </w:rPr>
      </w:pPr>
      <w:r>
        <w:rPr>
          <w:rFonts w:ascii="Arial" w:hAnsi="Arial"/>
          <w:color w:val="000000"/>
          <w:sz w:val="20"/>
        </w:rPr>
        <w:t>In addition, our reliance on third-party partners could introduce new cybersecurity risks and vulnerabilities. We rely on third-party partners and technologies to operate critical business systems and to process sensitive data in a variety of contexts, including cloud-based infrastructure, encryption and authentication technology, employee email and other functions. We also rely on third-party partners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partners experience a security incident or other interruption, we could experience adverse consequences. While we may be entitled to damages if our third-party service partners fail to satisfy their privacy or security-related obligations to us, any award may be insufficient to cover our damages, or we may be unable to recover any such award. In addition,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actively implement measures designed to identify, protect, detect, respond to and recover from vulnerabilities within our information systems, including those related to hardware, software and third-party providers. Despite our efforts, we have not and may not in the future detect and remediate all such vulnerabilities including on a timely basis. In some cases, we have and may in the future experience delays in developing and deploying necessary remediation measures and security patches. These undetected or unaddressed vulnerabilities could be exploited, potentially leading to security incidents, which could have a material adverse effect on our business, financial condition, results of operations and prospects. For example, we have been the target of unsuccessful phishing attempts in the past and expect such attempts will continue in the future. The introduction of AI has increased the sophistication of incoming attacks. We have introduced new tools to protect Odyssey from evolving threats that target human behavior. At times, however, threat actors evolve more rapidly than the tools meant to protect against them. As such, evolving threats pose a risk to the integrity of our data and cyber infrastructure.</w:t>
      </w:r>
    </w:p>
    <w:p>
      <w:pPr>
        <w:pStyle w:val="TextBody"/>
        <w:bidi w:val="0"/>
        <w:spacing w:before="240" w:after="283"/>
        <w:jc w:val="left"/>
        <w:rPr>
          <w:rFonts w:ascii="Times New Roman" w:hAnsi="Times New Roman"/>
          <w:sz w:val="20"/>
        </w:rPr>
      </w:pPr>
      <w:r>
        <w:rPr>
          <w:rFonts w:ascii="Arial" w:hAnsi="Arial"/>
          <w:color w:val="000000"/>
          <w:sz w:val="20"/>
        </w:rPr>
        <w:t>Any of the previously identified or similar threats have in the past and may in the future cause another security incident or other interruption that have in the past and may in the future result in unauthorized, unlawful or accidental acquisition, modification, destruction, loss, alteration, encryption or disclosure of, or access to, our sensitive data or our information technology systems, or those of the third parties with whom we work. A security incident or other interruption could disrupt our ability (and that of third parties with whom we work) to provide our services, including clinical trials, or continue our target discovery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expended significant resources and modified our business activities (including our clinical trial activities) to try to protect against security incidents and will continue to do so. Certain data privacy and security obligations have required us to implement and maintain specific security measures or industry-standard or reasonable security measures to protect our information technology systems and sensitive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costs related to significant security breaches or disruptions could be material and cause us to incur significant expenses. If the information technology systems of our CROs, CMOs, clinical sites and other vendors,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If any incidents of this nature were to occur and cause interruptions in our operations, it could result in a disruption of our business, operations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sensitive data or applications, or inappropriate disclosure of sensitive data, we could incur liability and the further development of any product candidates could be delayed. Applicable data privacy and security obligations may require us, or we may voluntarily choose, to notify relevant stakeholders, including affected individuals, future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or oversight, restrictions on processing sensitive data, litigation, indemnification obligations, negative publicity, reputational harm, monetary fund diversions, diversion of management attention, financial loss and other similar harms. Security incidents and material attendant consequences may negatively impact our ability to grow and operate our business and may result in a loss of confidence in us and our ability to conduct clinical trials, which could delay the clinical development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contracts may not always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our sensitive data could be leaked, disclosed or revealed as a result of, or in connection with, our employees’, personnel’s or vendors’ use of generative AI and/or automated decision-making technologies.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and the third parties with whom we work are subject to stringent and evolving U.S. and foreign laws, regulations and rules, contractual obligations, industry standards, policies and other obligations related to data privacy and security. Any actual or perceived failure to comply with these obligations could lead to government enforcement actions (which could include civil or criminal penalties), private litigation (including class claims), negative publicity or other adverse consequences that could negatively affect our operating results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the ordinary course of business, we and our partners process sensitive data. As a result, we and our partners are subject to numerous data privacy and security obligations, such as various federal, state and foreign laws and regulations, guidance, industry standards, external and internal privacy and security policies, contractual requirements and other obligations relating to data privacy and security. In the United States, numerous federal, state and local governments have enacted laws and regulations, including state data breach notification laws, state health information privacy laws, federal and state consumer protection laws (e.g., Section 5 of the Federal Trade Commission Act, or the FTCA) and other similar regulations (e.g., wiretapping) that govern the processing of sensitive data, including health-related information. For example, HIPAA, as amended by HITECH, imposes specific requirements relating to the privacy, security and transmission of individually identifiable protected health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Even when HIPAA does not apply, according to the FTC failing to take appropriate steps to keep consumers’ personal information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information, such as conducting data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privacy impact assessments. Failure to comply with these laws, where applicable, can result in significant statutory fines. For example, the California Consumer Privacy Act of 2018, or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to recover significant statutory damages for certain data breaches, thereby potentially increasing risks associated with a data breach. 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privacy laws are being considered at the federal level,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 The existence of comprehensive privacy laws in different states in the country make our compliance obligations more complex and costly and may increase the likelihood that we may be subject to enforcement actions or otherwise incur liability for noncompliance.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Outside the United States, an increasing number of laws and regulations, including Australia’s Privacy Act, the European Union’s General Data Protection Regulation, or the EU GDPR, and the United Kingdom’s General Data Protection Regulation, or UK GDPR, and, together with the EU GDPR, the GDPR, also apply to our processing of sensitive data, including health-related and other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GDPR imposes stringent requirements for processing personal data. The GDPR, together with national legislation, regulations and guidelines of the European Economic Area, or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temporary or definitive bans on data processing, private litigation related to processing of personal data brought by classes of data subjects or consumer protection organizations authorized at law to represent their interests, and potential fines for noncompliance of up to €20 million (£17.5 million) or 4% of the annual global revenues of the noncompliant company, whichever is greater.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we may be unable to transfer personal data from the EEA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EEA’s standard contractual clauses, the United Kingdom’s International Data Transfer Agreement / Addendum, and the EU-U.S. Data Privacy Framework, or the Framework, and the United Kingdom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breach of the GDPR or other applicable data privacy, data protection and security laws and regulations could result in regulatory investigations, reputational damage and orders to cease or change our use of data, enforcement notices or potential civil claims including class-action-type litigation.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pStyle w:val="TextBody"/>
        <w:bidi w:val="0"/>
        <w:spacing w:before="240" w:after="283"/>
        <w:jc w:val="left"/>
        <w:rPr>
          <w:rFonts w:ascii="Times New Roman" w:hAnsi="Times New Roman"/>
          <w:sz w:val="20"/>
        </w:rPr>
      </w:pPr>
      <w:r>
        <w:rPr>
          <w:rFonts w:ascii="Arial" w:hAnsi="Arial"/>
          <w:color w:val="000000"/>
          <w:sz w:val="20"/>
        </w:rPr>
        <w:t>Our employees and personnel use AI modeling and/or automated decision-making tools to assist in our discovery efforts and product development. The disclosure and use of personal data in AI technologies is subject to various privacy laws and other privacy obligations. Governments have passed and are likely to pass additional laws regulating generative AI and/or automated decision-making technologies. Our use of this technology could result in additional compliance costs, regulatory investigations and actions and lawsuits. If we are unable to use AI and/or automated decision-making technologies, our drug discovery efforts may be less efficient and our ability to further expand our pipeline may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bound by other contractual obligations related to data privacy and security, and our efforts to comply with those obligations may not be 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misleading,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Compliance with U.S. and foreign data privacy and security laws, rules and regulations could require us to take on more onerous obligations in our contracts, require us to engage in costly compliance exercises, restrict our ability to collect, use and disclose sensitive data, or, in some cases, impact our or our partners’ or suppliers’ ability to operate in certain jurisdictions. Each of these constantly evolving laws can be subject to varying interpretations.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delayed, more costly or unsuccessful, and we may never be able to seek or obtain regulatory approval for or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if we were to conduct them independently. These parties are not, and will not be, our employees and we will have limited control over the amount of time and resources that they dedicate to our programs. Additionally, these parties may have contractual relationships with other entities (some of whom may be our competitors), which may draw time and resources from our programs. For example, we rely on CROs located or operating in China and Ukraine, among others, to conduct certain of our preclinical research and discovery activities and/or our clinical trials. It is unknown how the status of current or future U.S.-China relations or the ongoing conflict in Ukraine will affect our ability to rely on these CROs to conduct our current and future preclinical studies or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GCPs. Moreover, our business may be significantly impacted if our CROs, clinical investigators or other third parties violate federal or state healthcare fraud and abuse or false claims laws and regulations or healthcare privacy and security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If any of our relationships with these third parties terminate, we may not be able to enter into alternative arrangements or do so on commercially reasonable terms. Switching or adding additional contractors or vendors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currently rely, and expect to continue to rely, on third-party contract developers and manufacturers to manufacture bulk drug substances, drug products, raw materials, samples, components and other materials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Reliance on third-party CMOs may expose us to different risks than if we were to manufacture product candidates ourselves. There can be no assurance that our preclinical and clinical development supplies will not be limited, interrupted, terminated or will be of satisfactory quality or be available at acceptable prices, including as we expand the size and number of clinical trials. In addition, replacing a CMO could require significant effort and time because there may be a limited number of qualified replacements.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manufacturing process for our product candidates is subject to review by the FDA and other foreign regulatory authorities to the extent applicable. We and our suppliers and manufacturers must meet applicable manufacturing requirements and undergo rigorous facility and process validation tests required by regulatory authorities in order to comply with regulatory standards, such as current good manufacturing practices, or cGMPs. Securing marketing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If any of our manufacturers fail to comply with those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in a timely manner or on reasonable terms, or at all. In some cases, the technical skills or technology required to manufacture our product candidates may be unique or proprietary to the original manufacturer and we may have difficulty transferring such to another third party.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These factors would increase our reliance on a CMO or require us to obtain a license from that CMO to enable us to manufacture, or to have another third party manufacture, our product candidates. If we are required to change CMOs for any reason, we will be required to verify that the new CMO maintains facilities and procedures that comply with applicable quality standards and regulations and guidelines and we may be required to repeat some of the development program. The delays and costs associated with the verification of a new CMO could negatively affect our ability to develop product candidates in a timely manner or within budget.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expect to continue to rely on third-party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an inability to initiate or continue preclinical studies or clinical trials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delay in submitting regulatory applications, or receiving regulatory approvals, for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loss of the cooperation of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the event of approval to market and commercialize a product candidate, an inability to meet commercial demands for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FCA, corporate integrity agreements, consent decrees or withdrawal of product approval. </w:t>
      </w:r>
    </w:p>
    <w:p>
      <w:pPr>
        <w:pStyle w:val="TextBody"/>
        <w:bidi w:val="0"/>
        <w:spacing w:before="240" w:after="283"/>
        <w:jc w:val="left"/>
        <w:rPr>
          <w:rFonts w:ascii="Times New Roman" w:hAnsi="Times New Roman"/>
          <w:sz w:val="20"/>
        </w:rPr>
      </w:pPr>
      <w:r>
        <w:rPr>
          <w:rFonts w:ascii="Arial" w:hAnsi="Arial"/>
          <w:color w:val="000000"/>
          <w:sz w:val="20"/>
        </w:rPr>
        <w:t>Additionally, our CMOs may experience difficulties due to resource constraints or as a result of labor disputes, unstable political environments, natural disasters, epidemics or outbreaks, among other things. If our CMOs were to encounter any of these difficulties, our ability to provide our product candidates to participants in preclinical and clinical trials, or to provide product for treatment of participants if approved, would be jeopardized.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operations of our suppliers, some of which are located outside of the United States, are subject to additional risks that are beyond our control and that could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Certain of our suppliers are located outside of the United States. As a result, we are subject to risks associated with doing business abroad,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political unrest, terrorism, labor disputes and economic instability resulting in the disruption of trade from foreign countries in which our products are manufactured;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greater challenges and increased costs with enforcing and periodically auditing or reviewing our suppliers’ and manufacturers’ compliance with cGMPs or status acceptable to the FDA or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protection for intellectual property rights, including trademark protection, in some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disruptions in operations due to global, regional, or local public health crises or other emergencies or natural disasters;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disruptions or delays in shipments;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local economic conditions in countries where our manufacturers or suppliers are located. </w:t>
      </w:r>
    </w:p>
    <w:p>
      <w:pPr>
        <w:pStyle w:val="TextBody"/>
        <w:bidi w:val="0"/>
        <w:spacing w:before="240" w:after="283"/>
        <w:jc w:val="left"/>
        <w:rPr>
          <w:rFonts w:ascii="Times New Roman" w:hAnsi="Times New Roman"/>
          <w:sz w:val="20"/>
        </w:rPr>
      </w:pPr>
      <w:r>
        <w:rPr>
          <w:rFonts w:ascii="Arial" w:hAnsi="Arial"/>
          <w:color w:val="000000"/>
          <w:sz w:val="20"/>
        </w:rPr>
        <w:t>These and other factors beyond our control could interrupt our suppliers’ production, influence the ability of our suppliers to export our clinical supplies cost-effectively or at all, inhibit our suppliers’ ability to procure certain materials or delay or increase the cost of certain preclinical development programs, any of which could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We have entered, and may in the future enter into additional, collaborations or licensing arrangements, which are important to our business. If we are unable to enter into new collaborations or licenses, or if we fail to realize the benefits of any current or future collaborations or licensing arrangements, our business, financial condition, results of operations and prospects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 key part of our strategy is to strategically evaluate and, as we deem appropriate, enter into collaborations or partnerships, including with major biotechnology or pharmaceutical companies to advance our current or future product candidates. We have previously entered into collaborations with Pfizer, J&amp;J and Terray to conduct various research and development activities. Our agreement with Pfizer expired by its terms in 2025 and, as of the date of this Quarterly Report, we do not anticipate generating any additional revenue from our agreements with either Pfizer or J&amp;J. We have limited capabilities for product development and do not yet have any capability for commercialization. Accordingly, we may continue to enter into collaborations with other companies in the future to provide us with funding for our programs and technology. Any of our existing or future collaborations that we enter into may not be successful. The success of our collaboration arrangements will depend heavily on the efforts and activities of our collaborators. Our current product candidates are designed to address targets that we believe are of high interest to pharmaceutical partners.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current collaborations and any future collaborations we enter into pose a number of risks,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collaborators have significant discretion in determining the efforts and resources that they will apply;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fail to comply with applicable regulatory requirements regarding the development, manufacture, distribution or marketing of a product candidate or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collaborator’s sales and marketing activities or other operations may not be in compliance with applicable laws, resulting in civil or criminal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grant exclusive rights to our collaborators that would prevent us from collaborating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seek to amend or modify the terms of any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infringe the intellectual property rights of third parties, which may expose us to litigation and potential liability;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a collaborator of ours is involved in a business combination, the collaborator might deemphasize or terminate the development or future commercialization of any product candidate licensed to it by us. </w:t>
      </w:r>
    </w:p>
    <w:p>
      <w:pPr>
        <w:pStyle w:val="TextBody"/>
        <w:bidi w:val="0"/>
        <w:spacing w:before="240" w:after="283"/>
        <w:jc w:val="left"/>
        <w:rPr>
          <w:rFonts w:ascii="Times New Roman" w:hAnsi="Times New Roman"/>
          <w:sz w:val="20"/>
        </w:rPr>
      </w:pPr>
      <w:r>
        <w:rPr>
          <w:rFonts w:ascii="Arial" w:hAnsi="Arial"/>
          <w:color w:val="000000"/>
          <w:sz w:val="20"/>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financial condition, results of 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w:t>
      </w:r>
    </w:p>
    <w:p>
      <w:pPr>
        <w:pStyle w:val="TextBody"/>
        <w:bidi w:val="0"/>
        <w:spacing w:before="240" w:after="283"/>
        <w:jc w:val="left"/>
        <w:rPr>
          <w:rFonts w:ascii="Times New Roman" w:hAnsi="Times New Roman"/>
          <w:sz w:val="20"/>
        </w:rPr>
      </w:pPr>
      <w:r>
        <w:rPr>
          <w:rFonts w:ascii="Arial" w:hAnsi="Arial"/>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If we fail to maintain an effective system of internal control over financial reporting or disclosure controls, we may not be able to accurately report our financial results or prevent fraud. As a result, stockholders could lose confidence in our financial and other public reporting, which is likely to negatively affect our business and the market price of our common stock.</w:t>
      </w:r>
    </w:p>
    <w:p>
      <w:pPr>
        <w:pStyle w:val="TextBody"/>
        <w:bidi w:val="0"/>
        <w:spacing w:before="240" w:after="283"/>
        <w:jc w:val="left"/>
        <w:rPr>
          <w:rFonts w:ascii="Times New Roman" w:hAnsi="Times New Roman"/>
          <w:sz w:val="20"/>
        </w:rPr>
      </w:pPr>
      <w:r>
        <w:rPr>
          <w:rFonts w:ascii="Arial" w:hAnsi="Arial"/>
          <w:color w:val="000000"/>
          <w:sz w:val="20"/>
        </w:rPr>
        <w:t>As a public company, we are subject to the periodic reporting requirements of the Exchange Act and the Sarbanes-Oxley Act of 2002, or the Sarbanes-Oxley Act, which requires that we maintain effective disclosure controls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procedures and internal control over financial reporting. Internal control over financial reporting is a process designed to provide reasonable assurance regarding the reliability of financial reporting and the preparation of financial statements in accordance with accounting principles generally accepted in the United States. Effective internal control over financial reporting and disclosure controls are necessary for us to provide reliable financial reports, prevent fraud and comply with our Exchange Act reporting obligations, and efforts to ensure that there are effective internal control over financial reporting and disclosure controls are costly, time-consuming, and need to be re-evaluated frequently. In addition, any testing conducted by us, or any testing conducted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w:t>
      </w:r>
    </w:p>
    <w:p>
      <w:pPr>
        <w:pStyle w:val="TextBody"/>
        <w:bidi w:val="0"/>
        <w:spacing w:before="240" w:after="283"/>
        <w:jc w:val="left"/>
        <w:rPr>
          <w:rFonts w:ascii="Arial" w:hAnsi="Arial"/>
          <w:color w:val="000000"/>
          <w:sz w:val="20"/>
        </w:rPr>
      </w:pPr>
      <w:r>
        <w:rPr>
          <w:rFonts w:ascii="Arial" w:hAnsi="Arial"/>
          <w:color w:val="000000"/>
          <w:sz w:val="20"/>
        </w:rPr>
        <w:t>We must also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failure to remediate any material weakness or develop or maintain effective controls when we become subject to this requirement could negatively affect the results of periodic management evaluations regarding the effectiveness of our internal control over financial reporting that we will be required to include in our periodic reports we will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as a result. In addition, if we are unable to continue to meet these requirements, we may be delisted from Nasdaq.</w:t>
      </w:r>
    </w:p>
    <w:p>
      <w:pPr>
        <w:pStyle w:val="TextBody"/>
        <w:bidi w:val="0"/>
        <w:spacing w:before="240" w:after="283"/>
        <w:jc w:val="left"/>
        <w:rPr>
          <w:rFonts w:ascii="Times New Roman" w:hAnsi="Times New Roman"/>
          <w:sz w:val="20"/>
        </w:rPr>
      </w:pPr>
      <w:r>
        <w:rPr>
          <w:rFonts w:ascii="Arial" w:hAnsi="Arial"/>
          <w:color w:val="000000"/>
          <w:sz w:val="20"/>
        </w:rPr>
        <w:t>Our independent registered public accounting firm will not be required to formally attest to the effectiveness of our internal control over financial reporting until the later of (i) our second annual report or (ii) the first annual report required to be filed with the SEC following the date we are no longer an “emerging growth company,” as defined in the JOBS Act or a “smaller reporting company” as defined by the SEC.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we are not able to comply with the requirements of Section 404 of the Sarbanes-Oxley Act in a timely manner, we may not be able to produce timely and accurate financial statements or detect acts of fraud.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stock price may be volatile, which could result in substantial losses for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market price of our common stock is likely to be volatile and could fluctuate widely in response to many factors, including but not limited to:</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results of our preclinical studies and clinical trials, and the results of trials of our competitors or those of other companies in our market sector;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volatility and instability in the financial and capital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by competitors that impact our competitive outlook;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with respect to our product candidates, or similar products or product candidates against which we compete;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our efforts to discover, develop, acquire or in-license additional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with respect to patents or other intellectual property rights;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of technological innovations, new product candidates, new products or new contracts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relating to strategic transactions, including acquisitions, dispositions, collaborations, licenses or similar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anticipated variations in our operating results due to the level of development expenses and other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financial estimates by equity research analysts and whether our earnings (or losses) meet or exceed such estimates;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 or expectation of additional financing efforts and receipt, or lack of receipt, of funding in support of conducting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sales or the perception of potential sales of our common stock by us, our insiders, or other stockholders, or issuances by us of shares of our common stock in connection with strategic transactions;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expiration of market standoff or lock-up agreements described in the section of the IPO Prospectus titled “</w:t>
      </w:r>
      <w:r>
        <w:rPr>
          <w:rFonts w:ascii="Arial" w:hAnsi="Arial"/>
          <w:i/>
          <w:color w:val="000000"/>
          <w:sz w:val="20"/>
        </w:rPr>
        <w:t>Underwriting</w:t>
      </w:r>
      <w:r>
        <w:rPr>
          <w:color w:val="000000"/>
        </w:rPr>
        <w:t>”</w:t>
      </w:r>
      <w:r>
        <w:rPr>
          <w:rFonts w:ascii="Arial" w:hAnsi="Arial"/>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developments within, and outside of, the United States, including 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litigation or arbitration;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pandemics, natural disasters or major catastrophic events;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general economic, political and market conditions and other factors, including any such changes specific to the pharmaceutical and biotechnology sectors. </w:t>
      </w:r>
    </w:p>
    <w:p>
      <w:pPr>
        <w:pStyle w:val="TextBody"/>
        <w:bidi w:val="0"/>
        <w:spacing w:before="240" w:after="283"/>
        <w:jc w:val="left"/>
        <w:rPr>
          <w:rFonts w:ascii="Arial" w:hAnsi="Arial"/>
          <w:color w:val="000000"/>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pStyle w:val="TextBody"/>
        <w:bidi w:val="0"/>
        <w:spacing w:before="240" w:after="283"/>
        <w:jc w:val="left"/>
        <w:rPr>
          <w:rFonts w:ascii="Times New Roman" w:hAnsi="Times New Roman"/>
          <w:sz w:val="20"/>
        </w:rPr>
      </w:pPr>
      <w:r>
        <w:rPr>
          <w:rFonts w:ascii="Arial" w:hAnsi="Arial"/>
          <w:b/>
          <w:i/>
          <w:color w:val="000000"/>
          <w:sz w:val="20"/>
        </w:rPr>
        <w:t>We or our directors or officers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may be the target of securities litigation in the future, including based on volatility in the market price of our stock. The stock market in general, and Nasdaq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quarterly and annual operating results may fluctuate significantly or may fall below the expectations of investors or securities analysts or any guidance we may publicly provide, each of which may cause our stock price to fluctuate or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expect our operating results to be subject to quarterly and annual fluctuations that may, in turn, cause the price of our common stock to fluctuate substantially. Our net loss and other operating results will be affected by numerous factors, including, among other things, the results and timing of preclinical studies and ongoing and future clinical trials, or the addition or termination of any such preclinical studies or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We believe that quarterly or annual comparisons of our financial results are not necessarily meaningful and should not be relied upon as an indication of our future 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Because we do not anticipate paying any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board of directors is authorized to issue and designate shares of our preferred stock without stockholder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Certificate of Incorporation authorizes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part of our business strategy,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Any potential transaction may entail numerous risks,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assumption of indebtedness, contractual obligations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issuance of our equity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diversion of our management’s attention from our existing product programs and initiatives in pursuing a strategic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risks and uncertainties associated with the other party to such a transaction, including the prospects of that party, their regulatory compliance status, and their existing products or product candidates and marketing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generate revenue from acquired technology or products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sz w:val="20"/>
        </w:rPr>
      </w:pPr>
      <w:r>
        <w:rPr>
          <w:rFonts w:ascii="Arial" w:hAnsi="Arial"/>
          <w:color w:val="000000"/>
          <w:sz w:val="20"/>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If we engage in a disposition, we may have difficulty replacing the assets we sold or in separating our continuing operations from those of the business we sold.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Sales of a substantial number of shares of our common stock by our existing stockholders in the public market could cause our stock price to fall.</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pStyle w:val="TextBody"/>
        <w:bidi w:val="0"/>
        <w:spacing w:before="240" w:after="283"/>
        <w:jc w:val="left"/>
        <w:rPr>
          <w:rFonts w:ascii="Arial" w:hAnsi="Arial"/>
          <w:color w:val="000000"/>
          <w:sz w:val="20"/>
        </w:rPr>
      </w:pPr>
      <w:r>
        <w:rPr>
          <w:rFonts w:ascii="Arial" w:hAnsi="Arial"/>
          <w:color w:val="000000"/>
          <w:sz w:val="20"/>
        </w:rPr>
        <w:t>The 16,100,000 shares of our common stock sold in our IPO (unless they were purchased by one of our affiliates), including the shares sold pursuant to the partial exercise of the underwriters' option, are freely tradable, without restriction, in the public market.</w:t>
      </w:r>
    </w:p>
    <w:p>
      <w:pPr>
        <w:pStyle w:val="TextBody"/>
        <w:bidi w:val="0"/>
        <w:spacing w:before="240" w:after="283"/>
        <w:jc w:val="left"/>
        <w:rPr>
          <w:rFonts w:ascii="Times New Roman" w:hAnsi="Times New Roman"/>
          <w:sz w:val="20"/>
        </w:rPr>
      </w:pPr>
      <w:r>
        <w:rPr>
          <w:rFonts w:ascii="Arial" w:hAnsi="Arial"/>
          <w:color w:val="000000"/>
          <w:sz w:val="20"/>
        </w:rPr>
        <w:t>Our directors and executive officers and holders of substantially all of our outstanding securities have entered into lock-up agreements with the underwriters and/or are subject to market standoff agreements or other agreements with us pursuant to which they may not, with certain exceptions, for a period of 180 days from the date of the IPO Prospectus, offer, sell or otherwise transfer or dispose of any of our securities, without the prior written consent of the representatives of the underwriters. However, the representatives may permit our officers, directors and other security holders who are subject to the lock-up and market standoff agreements to sell shares prior to the expiration of the lock-up and market standoff agreements at any time in their sole discretion. See the section of the IPO Prospectus titled “</w:t>
      </w:r>
      <w:r>
        <w:rPr>
          <w:rFonts w:ascii="Arial" w:hAnsi="Arial"/>
          <w:i/>
          <w:color w:val="000000"/>
          <w:sz w:val="20"/>
        </w:rPr>
        <w:t>Underwriting</w:t>
      </w:r>
      <w:r>
        <w:rPr>
          <w:rFonts w:ascii="Arial" w:hAnsi="Arial"/>
          <w:color w:val="000000"/>
          <w:sz w:val="20"/>
        </w:rPr>
        <w:t>.” Sales of these shares, or perceptions that they will be sold, could cause the trading price of our common stock to decline. After the lock-up and market standoff agreements expire, an additional 27,098,614 shares of our common stock will be eligible for sale in the public market, of which 999,814 shares are held by directors, executive officers and other affiliates and will be subject to volume limitations under Rule 144 under the Securities Act.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addition, the shares of our common stock that are subject to outstanding options under our 2021 Plan and 2026 Plan became eligible for sale in the public market after our IPO, to the extent permitted by the provisions of various vesting schedules, the lock-up and market standoff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pStyle w:val="TextBody"/>
        <w:bidi w:val="0"/>
        <w:spacing w:before="240" w:after="283"/>
        <w:jc w:val="left"/>
        <w:rPr>
          <w:rFonts w:ascii="Arial" w:hAnsi="Arial"/>
          <w:color w:val="000000"/>
          <w:sz w:val="20"/>
        </w:rPr>
      </w:pPr>
      <w:r>
        <w:rPr>
          <w:rFonts w:ascii="Arial" w:hAnsi="Arial"/>
          <w:color w:val="000000"/>
          <w:sz w:val="20"/>
        </w:rPr>
        <w:t>The holders of 29,662,867 shares of our outstanding common stock, or approximately 59.9% of our total outstanding common stock following our IPO, have certain rights with respect to the registration of their shares under the Securities Act, subject to the lock-up and market standoff agreements described above. Registration of these shares under the Securities Act would result in the shares becoming freely tradable without restriction under the Securities Act. Any sales of securities by these stockholders could adversely affect the trading price of our common stock.</w:t>
      </w:r>
    </w:p>
    <w:p>
      <w:pPr>
        <w:pStyle w:val="TextBody"/>
        <w:bidi w:val="0"/>
        <w:spacing w:before="240" w:after="283"/>
        <w:jc w:val="left"/>
        <w:rPr>
          <w:rFonts w:ascii="Times New Roman" w:hAnsi="Times New Roman"/>
          <w:sz w:val="20"/>
        </w:rPr>
      </w:pPr>
      <w:r>
        <w:rPr>
          <w:rFonts w:ascii="Arial" w:hAnsi="Arial"/>
          <w:color w:val="000000"/>
          <w:sz w:val="20"/>
        </w:rPr>
        <w:t>In addition, in the future, we may issue additional shares of common stock, or other equity or debt securities convertible into or exercisable for common stock, in connection with a financing, acquisition, employee arrangement,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0"/>
        </w:rPr>
      </w:pPr>
      <w:r>
        <w:rPr>
          <w:rFonts w:ascii="Arial" w:hAnsi="Arial"/>
          <w:color w:val="000000"/>
          <w:sz w:val="20"/>
        </w:rPr>
        <w:t>or otherwise. Any such issuance could result in substantial dilution to our existing stockholders and could cause the price of our common stock to decline.</w:t>
      </w:r>
    </w:p>
    <w:p>
      <w:pPr>
        <w:pStyle w:val="TextBody"/>
        <w:bidi w:val="0"/>
        <w:spacing w:before="240" w:after="283"/>
        <w:jc w:val="left"/>
        <w:rPr>
          <w:rFonts w:ascii="Times New Roman" w:hAnsi="Times New Roman"/>
          <w:sz w:val="20"/>
        </w:rPr>
      </w:pPr>
      <w:r>
        <w:rPr>
          <w:rFonts w:ascii="Arial" w:hAnsi="Arial"/>
          <w:b/>
          <w:i/>
          <w:color w:val="000000"/>
          <w:sz w:val="20"/>
        </w:rPr>
        <w:t>Conflicts of interest may arise because some members of our board of directors are representatives of our principal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principal stockholders and management own a significant percentage of our common stock and will be able to control matters subject to stockholder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Following our IPO, our executive officers and directors collectively own a significant percentage of our outstanding voting stock. As a result, any stockholders who own more than 5% or more of our capital stock,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our change of control, even if a change of control would benefit our other stockholders, which could deprive our stockholders of an opportunity to receive a premium for their common stock as part of a sale of the company or of our assets and might affect the prevailing market price of our common stock. The significant concentration of stock ownership may adversely affect the trading price of our common stock due to investors’ perception that conflicts of interest may exist or arise.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will incur significant increased costs as a result of operating as a public company, and our management will be required to devote substantial time and resources to new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a public company, we are subject to the reporting requirements of the Exchange Act, the Sarbanes-Oxley Act, the Dodd-Frank Wall Street Reform and Consumer Protection Act, the listing requirements of Nasdaq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personnel or consultants in order to develop and implement appropriate internal control and reporting procedures, which will increase our costs and expenses.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ability to use our net operating loss, or NOL, carryforwards and certain other tax attributes to offset taxable income or taxes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have incurred substantial losses during our history and do not expect to become profitable in the near future, and we may never achieve profitability. As of December 31, 2025, we had U.S. federal NOL carryforwards of approximately $240.4 million and research and development credits of approximately $16.8 million, and state NOL carryforwards of approximately $171.0 million and research and development credits of approximately $7.4 million. Under the Internal Revenue Code of 1986, as amended, or the Code, our U.S. federal NOL carryforwards will not expire and may be carried forward indefinitely but the deductibility of such NOL 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increasing the likelihood that there have been changes in our ownership that would limit our ability to utilize our tax attribute carryforwards. Furthermore, there may be additional ownership changes in the future, some of which may be outside of our control. If we have undergone or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our state taxes owed. As a result, even if we attain profitability, we may be unable to use all or a material portion of our NOL carryforwards and other tax attributes, which could adversely affect our future 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Recent and future changes to tax laws could materially adversely affect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the Tax Cuts and Jobs Act of 2017, the Coronavirus Aid, Relief, and Economic Security Act, the Inflation Reduction Act of 2022, or the IRA, and the OBBBA enacted many significant changes to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We are an “emerging growth company” and a “smaller reporting company” and our election of reduced reporting requirements applicable to emerging growth companies and smaller reporting companies may make our common stock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Quarterly Report and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our IPO, although circumstances could cause us to lose that status earlier, including if we are deemed to be a “large accelerated filer,” which occurs when the market value of our common stock that is held by non-affiliates exceeds $700.0 million, measured on the last business day of our second fiscal quarter, or if we have total annual gross revenue of $1.235 billion or more during any fiscal year, in which cases we would no longer be an emerging growth company as of the last day of the fiscal year, or if we issue more than $1.0 billion in non-convertible debt during any three-year period before that time, in which case we would no longer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are also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failure to meet Nasdaq’s continued listing requirements could result in a delisting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If we fail to satisfy the continued listing requirements of Nasdaq, such as the corporate governance requirements or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Anti-takeover provisions in our organizational documents and under Delaware law could prevent or delay an acquisition of us that may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Each of our Certificate of Incorporation and Bylaws contain provisions that could delay or prevent a change in control of Odyssey. These provisions could also make it difficult for stockholders to elect directors who are not nominated by current members of our board of directors or take other corporate actions, including effecting changes in our management. These provisions: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establish a staggered board of directors divided into three classes serving staggered three-year terms, such that not all members of our board of directors will be elected at one time; </w:t>
      </w:r>
    </w:p>
    <w:p>
      <w:pPr>
        <w:pStyle w:val="TextBody"/>
        <w:bidi w:val="0"/>
        <w:spacing w:before="24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eliminate the ability of our stockholders to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advance notice requirements for nominations for election to our board of directors or for proposing matters that can be acted upon by stockholders at our annual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permit our board of directors to establish the number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that our board of directors is expressly authorized to make, alter or repeal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that stockholders can remove directors only for cause and only upon the approval of not less than 66-2/3% of all outstanding shares of our capital stock entitled to vote generally in the election of directors, voting as a single class;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the approval of not less than 66-2/3% of all outstanding shares of our capital stock entitled to vote generally in the election of directors, voting as a single class, for a stockholder amendment to our Bylaws (absent approval of our board of directors) and to amend specific provisions of our Certificate of Incorporation;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specify the jurisdictions in which certain stockholder litigation may be brought. </w:t>
      </w:r>
    </w:p>
    <w:p>
      <w:pPr>
        <w:pStyle w:val="TextBody"/>
        <w:bidi w:val="0"/>
        <w:spacing w:before="240" w:after="283"/>
        <w:jc w:val="left"/>
        <w:rPr>
          <w:rFonts w:ascii="Times New Roman" w:hAnsi="Times New Roman"/>
          <w:sz w:val="20"/>
        </w:rPr>
      </w:pPr>
      <w:r>
        <w:rPr>
          <w:rFonts w:ascii="Arial" w:hAnsi="Arial"/>
          <w:color w:val="000000"/>
          <w:sz w:val="20"/>
        </w:rPr>
        <w:t>In addition, Section 203 of General Corporation Law of the State of Delaware, or the DGCL, may discourage, delay or prevent a change in control of us. Section 203 imposes certain restrictions on mergers, business combinations and other transactions between us and holders of 15% or more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Certificate of Incorporation provides that, to the fullest extent permitted by law, derivative actions brought in our name or actions against directors, officers and employees for breach of fiduciary duty, arising pursuant to any provision of the DGCL, our Certificate of Incorporation or Bylaws, or governed by the internal affairs doctrine, or actions brought by stockholders that do not constitute internal corporate claims under the DGCL, if such claim relates to our business, the conduct of our affairs, or our rights or powers or our stockholders, directors or officers,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In addition, our Certificate of Incorporation designates the federal district courts of the United States as the exclusive forum for resolving any complaint asserting a cause of action arising under the Securities Act; however, such exclusive forum provision does not apply to claims brought to enforce a duty or liability created by the Exchange Act. The validity and enforceability of such provision is uncertain in a number of courts other than the Delaware Supreme Court and certain other state courts.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promulgated thereunder.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If securities or industry analysts do not publish research or reports about our business, or if they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trading market for our common stock will be influenced in part by the research and reports that industry or securities analysts publish about us or our business. We do not have any control over the industry or securities analysts, or the frequency of or content and opinions included in their reports and may never obtain research coverage by securities and industry analysts. If no or few securities or industry analysts commence coverage of us, or if analysts cease coverage of us or do not publish reports on us on a regular basis,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bookmarkStart w:id="15" w:name="item_2_unregistered_sales"/>
      <w:bookmarkEnd w:id="15"/>
      <w:r>
        <w:rPr>
          <w:rFonts w:ascii="Arial" w:hAnsi="Arial"/>
          <w:b/>
          <w:color w:val="000000"/>
          <w:sz w:val="20"/>
        </w:rPr>
        <w:t>Item 2. Unregistered Sales of Equity Securities and Use of Proceeds.</w:t>
      </w:r>
    </w:p>
    <w:p>
      <w:pPr>
        <w:pStyle w:val="TextBody"/>
        <w:bidi w:val="0"/>
        <w:spacing w:before="240" w:after="283"/>
        <w:jc w:val="left"/>
        <w:rPr>
          <w:rFonts w:ascii="Times New Roman" w:hAnsi="Times New Roman"/>
          <w:sz w:val="20"/>
        </w:rPr>
      </w:pPr>
      <w:r>
        <w:rPr>
          <w:rFonts w:ascii="Arial" w:hAnsi="Arial"/>
          <w:color w:val="000000"/>
          <w:sz w:val="20"/>
        </w:rPr>
        <w:t>Set forth below is information regarding securities we have issued within the past three years that were not registered under the Securities Act.</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(a) Recent Sales of Unregistered Equity Securities</w:t>
      </w:r>
    </w:p>
    <w:p>
      <w:pPr>
        <w:pStyle w:val="TextBody"/>
        <w:bidi w:val="0"/>
        <w:spacing w:before="240" w:after="283"/>
        <w:jc w:val="left"/>
        <w:rPr>
          <w:rFonts w:ascii="Arial" w:hAnsi="Arial"/>
          <w:b/>
          <w:i/>
          <w:color w:val="000000"/>
          <w:sz w:val="20"/>
        </w:rPr>
      </w:pPr>
      <w:r>
        <w:rPr>
          <w:rFonts w:ascii="Arial" w:hAnsi="Arial"/>
          <w:b/>
          <w:i/>
          <w:color w:val="000000"/>
          <w:sz w:val="20"/>
        </w:rPr>
        <w:t>Preferred Stock Issuances</w:t>
      </w:r>
    </w:p>
    <w:p>
      <w:pPr>
        <w:pStyle w:val="TextBody"/>
        <w:bidi w:val="0"/>
        <w:spacing w:before="120" w:after="283"/>
        <w:jc w:val="left"/>
        <w:rPr>
          <w:rFonts w:ascii="Times New Roman" w:hAnsi="Times New Roman"/>
          <w:sz w:val="20"/>
        </w:rPr>
      </w:pPr>
      <w:r>
        <w:rPr>
          <w:rFonts w:ascii="Arial" w:hAnsi="Arial"/>
          <w:color w:val="000000"/>
          <w:sz w:val="20"/>
        </w:rPr>
        <w:t>On October 25, 2023, we entered into the Series C Preferred Stock Purchase Agreement with a number of investors named therein. We subsequently entered into Amendment No. 1 thereto, dated November 28, 2023, Amendment No. 2 thereto, dated January 18, 2024, Amendment No. 3 thereto, dated April 30, 2024, Amendment No. 4 thereto, dated July 17, 2024, and Amendment No. 5 thereto, dated August 6, 2024. In multiple closings held between October 2023 and August 2024, we issued and sold an aggregate of 23,442,000 shares of our Series C convertible preferred stock at a purchase price of $5.00 per share for an aggregate purchase price of approximately $117.2 million, which we refer to as the Series C Preferred Stock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November 22, 2024, we entered into a Series C-1 Preferred Stock Purchase Agreement with an investor named therein, pursuant to which we sold an aggregate of 1,459,598 shares of our Series C-1 convertible preferred stock at a purchase price of $5.1384 per share for an aggregate purchase price of approximately $7.5 million, which we refer to as the Series C-1 Preferred Stock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June 16, 2025, we entered into the Series D Preferred Stock Purchase Agreement with a number of investors named therein. We subsequently entered into Amendment No. 1 thereto, dated June 23, 2025, and Amendment No. 2 thereto, dated August 6, 2025. In multiple closings held between June 16, 2025 and October 2, 2025, we issued and sold (i) an aggregate of 141,950,377 shares of our Series D convertible preferred stock at a purchase price of $1.50497 per share, for an aggregate purchase price of approximately $213.6 million and (ii) Common Stock Warrants to purchase an aggregate of 4,056,164 shares of common stock with an exercise price of $0.10 per share, which we refer to collectively as the Series D Preferred Stock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May 7, 2026, concurrently with the IPO, we also completed a private placement, in which we issued and sold an aggregate of 1,388,889 shares of our common stock at the IPO price to TPG LSI Rise Orazio II, L.P. The aggregate cash purchase price of the private placement shares was $25.0 million, resulting in aggregate net cash proceeds of $23.3 million, after deducting approximately $1.7 million in placement agent fees.</w:t>
      </w:r>
      <w:r>
        <w:rPr>
          <w:rFonts w:ascii="Times New Roman" w:hAnsi="Times New Roman"/>
          <w:color w:val="000000"/>
          <w:sz w:val="20"/>
        </w:rPr>
        <w:t xml:space="preserve"> </w:t>
      </w:r>
      <w:r>
        <w:rPr>
          <w:rFonts w:ascii="Arial" w:hAnsi="Arial"/>
          <w:color w:val="000000"/>
          <w:sz w:val="20"/>
        </w:rPr>
        <w:t>J.P. Morgan Securities LLC, TD Securities (USA) LLC and Cantor Fitzgerald &amp; Co. acted as placement agents for the private placement.</w:t>
      </w:r>
    </w:p>
    <w:p>
      <w:pPr>
        <w:pStyle w:val="TextBody"/>
        <w:bidi w:val="0"/>
        <w:spacing w:before="240" w:after="283"/>
        <w:jc w:val="left"/>
        <w:rPr>
          <w:rFonts w:ascii="Arial" w:hAnsi="Arial"/>
          <w:color w:val="000000"/>
          <w:sz w:val="20"/>
        </w:rPr>
      </w:pPr>
      <w:r>
        <w:rPr>
          <w:rFonts w:ascii="Arial" w:hAnsi="Arial"/>
          <w:color w:val="000000"/>
          <w:sz w:val="20"/>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Arial" w:hAnsi="Arial"/>
          <w:b/>
          <w:i/>
          <w:color w:val="000000"/>
          <w:sz w:val="20"/>
        </w:rPr>
      </w:pPr>
      <w:r>
        <w:rPr>
          <w:rFonts w:ascii="Arial" w:hAnsi="Arial"/>
          <w:b/>
          <w:i/>
          <w:color w:val="000000"/>
          <w:sz w:val="20"/>
        </w:rPr>
        <w:t>(b) Use of Proceeds from our Initial Public Offering and Concurrent Private Placement</w:t>
      </w:r>
    </w:p>
    <w:p>
      <w:pPr>
        <w:pStyle w:val="TextBody"/>
        <w:bidi w:val="0"/>
        <w:spacing w:before="120" w:after="283"/>
        <w:jc w:val="both"/>
        <w:rPr>
          <w:rFonts w:ascii="Times New Roman" w:hAnsi="Times New Roman"/>
          <w:sz w:val="20"/>
        </w:rPr>
      </w:pPr>
      <w:r>
        <w:rPr>
          <w:rFonts w:ascii="Arial" w:hAnsi="Arial"/>
          <w:color w:val="000000"/>
          <w:sz w:val="20"/>
        </w:rPr>
        <w:t>On May 7, 2026, the SEC declared effective our registration statement on Form S-1 (File No. 333-295141), as amended, or the Registration Statement, filed in connection with our IPO.</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There has been no material change in the expected use of the net proceeds from our IPO and concurrent private placement as described in the IPO Prospectus.</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(c) Issuer Repurchases of Securities</w:t>
      </w:r>
    </w:p>
    <w:p>
      <w:pPr>
        <w:pStyle w:val="TextBody"/>
        <w:bidi w:val="0"/>
        <w:spacing w:before="120" w:after="283"/>
        <w:jc w:val="both"/>
        <w:rPr>
          <w:rFonts w:ascii="Arial" w:hAnsi="Arial"/>
          <w:color w:val="000000"/>
          <w:sz w:val="20"/>
        </w:rPr>
      </w:pPr>
      <w:r>
        <w:rPr>
          <w:rFonts w:ascii="Arial" w:hAnsi="Arial"/>
          <w:color w:val="000000"/>
          <w:sz w:val="20"/>
        </w:rPr>
        <w:t>None.</w:t>
      </w:r>
    </w:p>
    <w:p>
      <w:pPr>
        <w:pStyle w:val="TextBody"/>
        <w:bidi w:val="0"/>
        <w:spacing w:before="240" w:after="283"/>
        <w:jc w:val="left"/>
        <w:rPr>
          <w:rFonts w:ascii="Arial" w:hAnsi="Arial"/>
          <w:b/>
          <w:color w:val="000000"/>
          <w:sz w:val="20"/>
        </w:rPr>
      </w:pPr>
      <w:bookmarkStart w:id="16" w:name="item_3_defaults_upon_senior"/>
      <w:bookmarkEnd w:id="16"/>
      <w:r>
        <w:rPr>
          <w:rFonts w:ascii="Arial" w:hAnsi="Arial"/>
          <w:b/>
          <w:color w:val="000000"/>
          <w:sz w:val="20"/>
        </w:rPr>
        <w:t>Item 3. Defaults Upon Senior Securities.</w:t>
      </w:r>
    </w:p>
    <w:p>
      <w:pPr>
        <w:pStyle w:val="TextBody"/>
        <w:bidi w:val="0"/>
        <w:spacing w:before="240" w:after="283"/>
        <w:jc w:val="left"/>
        <w:rPr>
          <w:rFonts w:ascii="Arial" w:hAnsi="Arial"/>
          <w:color w:val="000000"/>
          <w:sz w:val="20"/>
        </w:rPr>
      </w:pPr>
      <w:r>
        <w:rPr>
          <w:rFonts w:ascii="Arial" w:hAnsi="Arial"/>
          <w:color w:val="000000"/>
          <w:sz w:val="20"/>
        </w:rPr>
        <w:t>None.</w:t>
      </w:r>
    </w:p>
    <w:p>
      <w:pPr>
        <w:pStyle w:val="TextBody"/>
        <w:bidi w:val="0"/>
        <w:spacing w:before="240" w:after="283"/>
        <w:jc w:val="left"/>
        <w:rPr>
          <w:rFonts w:ascii="Arial" w:hAnsi="Arial"/>
          <w:b/>
          <w:color w:val="000000"/>
          <w:sz w:val="20"/>
        </w:rPr>
      </w:pPr>
      <w:bookmarkStart w:id="17" w:name="item_4_mine_safety"/>
      <w:bookmarkEnd w:id="17"/>
      <w:r>
        <w:rPr>
          <w:rFonts w:ascii="Arial" w:hAnsi="Arial"/>
          <w:b/>
          <w:color w:val="000000"/>
          <w:sz w:val="20"/>
        </w:rPr>
        <w:t>Item 4. Mine Safety Disclosures.</w:t>
      </w:r>
    </w:p>
    <w:p>
      <w:pPr>
        <w:pStyle w:val="TextBody"/>
        <w:bidi w:val="0"/>
        <w:spacing w:before="240" w:after="283"/>
        <w:jc w:val="left"/>
        <w:rPr>
          <w:rFonts w:ascii="Arial" w:hAnsi="Arial"/>
          <w:color w:val="000000"/>
          <w:sz w:val="20"/>
        </w:rPr>
      </w:pPr>
      <w:r>
        <w:rPr>
          <w:rFonts w:ascii="Arial" w:hAnsi="Arial"/>
          <w:color w:val="000000"/>
          <w:sz w:val="20"/>
        </w:rPr>
        <w:t>Not applicable.</w:t>
      </w:r>
    </w:p>
    <w:p>
      <w:pPr>
        <w:pStyle w:val="TextBody"/>
        <w:bidi w:val="0"/>
        <w:spacing w:before="240" w:after="283"/>
        <w:jc w:val="left"/>
        <w:rPr>
          <w:rFonts w:ascii="Arial" w:hAnsi="Arial"/>
          <w:b/>
          <w:color w:val="000000"/>
          <w:sz w:val="20"/>
        </w:rPr>
      </w:pPr>
      <w:bookmarkStart w:id="18" w:name="item_5_other_information"/>
      <w:bookmarkEnd w:id="18"/>
      <w:r>
        <w:rPr>
          <w:rFonts w:ascii="Arial" w:hAnsi="Arial"/>
          <w:b/>
          <w:color w:val="000000"/>
          <w:sz w:val="20"/>
        </w:rPr>
        <w:t>Item 5. Other Information.</w:t>
      </w:r>
    </w:p>
    <w:p>
      <w:pPr>
        <w:pStyle w:val="TextBody"/>
        <w:bidi w:val="0"/>
        <w:spacing w:before="240" w:after="283"/>
        <w:jc w:val="left"/>
        <w:rPr>
          <w:rFonts w:ascii="Times New Roman" w:hAnsi="Times New Roman"/>
          <w:sz w:val="20"/>
        </w:rPr>
      </w:pPr>
      <w:r>
        <w:rPr>
          <w:rFonts w:ascii="Arial" w:hAnsi="Arial"/>
          <w:color w:val="000000"/>
          <w:sz w:val="20"/>
        </w:rPr>
        <w:t>During the six months ended June 30, 2026, none</w:t>
      </w:r>
      <w:r>
        <w:rPr>
          <w:rFonts w:ascii="Times New Roman" w:hAnsi="Times New Roman"/>
          <w:color w:val="000000"/>
          <w:sz w:val="20"/>
        </w:rPr>
        <w:t xml:space="preserve"> </w:t>
      </w:r>
      <w:r>
        <w:rPr>
          <w:rFonts w:ascii="Arial" w:hAnsi="Arial"/>
          <w:color w:val="000000"/>
          <w:sz w:val="20"/>
        </w:rPr>
        <w:t>of our directors or officers (as defined in Rule 16a-1(f) under the Exchange Act) adopted or terminated any “Rule 10b5-1 trading arrangement” or “non-Rule 10b5-1 trading arrangement,” as those terms are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Arial" w:hAnsi="Arial"/>
          <w:b/>
          <w:color w:val="000000"/>
          <w:sz w:val="20"/>
        </w:rPr>
      </w:pPr>
      <w:bookmarkStart w:id="19" w:name="item_6_exhibit"/>
      <w:bookmarkEnd w:id="19"/>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2"/>
        <w:gridCol w:w="146"/>
        <w:gridCol w:w="9247"/>
      </w:tblGrid>
      <w:tr>
        <w:trPr/>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7" w:type="dxa"/>
            <w:tcBorders/>
            <w:vAlign w:val="center"/>
          </w:tcPr>
          <w:p>
            <w:pPr>
              <w:pStyle w:val="TableContents"/>
              <w:bidi w:val="0"/>
              <w:spacing w:before="0" w:after="283"/>
              <w:jc w:val="left"/>
              <w:rPr>
                <w:sz w:val="4"/>
                <w:szCs w:val="4"/>
              </w:rPr>
            </w:pPr>
            <w:r>
              <w:rPr>
                <w:sz w:val="4"/>
                <w:szCs w:val="4"/>
              </w:rPr>
            </w:r>
          </w:p>
        </w:tc>
      </w:tr>
      <w:tr>
        <w:trPr/>
        <w:tc>
          <w:tcPr>
            <w:tcW w:w="812"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Ninth Amended and Restated Certificate of Incorporation of the Registrant (incorporated by reference to Exhibit 3.1 to the Current Report on Form 8-K (File No. 001-43270), filed on May 11, 2026).</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Amended and Restated Bylaws of the Registrant (incorporated by reference to Exhibit 3.4 to the Registrant’s Registration Statement on Form S-1 (File No. 333-295141), filed on April 17, 2026).</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4.1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Form of Common Stock Certificate (incorporated by reference to Exhibit 4.1 to the Registrant’s Registration Statement on Form S-1 (File No. 333-295141), filed on April 17, 2026).</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4.2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 to Purchase Stock, issued to Banc of California (formerly Pacific Western Bank) (incorporated by reference to Exhibit 4.2 to the Registrant’s Registration Statement on Form S-1 (File No. 333-295141), filed on April 17, 2026).</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dtx-ex31_1.htm">
              <w:r>
                <w:rPr>
                  <w:rStyle w:val="InternetLink"/>
                  <w:rFonts w:ascii="Arial" w:hAnsi="Arial"/>
                  <w:color w:val="0000FF"/>
                  <w:sz w:val="20"/>
                  <w:u w:val="single"/>
                </w:rPr>
                <w:t>31.1</w:t>
              </w:r>
            </w:hyperlink>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Certification of Principal Executive Officer Pursuant to Rules 13a-14(a) and 15d-14(a) under the Securities Exchange Act of 1934, as Adopted Pursuant to Section 302 of the Sarbanes-Oxley Act of 2002.</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dtx-ex31_2.htm">
              <w:r>
                <w:rPr>
                  <w:rStyle w:val="InternetLink"/>
                  <w:rFonts w:ascii="Arial" w:hAnsi="Arial"/>
                  <w:color w:val="0000FF"/>
                  <w:sz w:val="20"/>
                  <w:u w:val="single"/>
                </w:rPr>
                <w:t>31.2</w:t>
              </w:r>
            </w:hyperlink>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Certification of Principal Financial Officer Pursuant to Rules 13a-14(a) and 15d-14(a) under the Securities Exchange Act of 1934, as Adopted Pursuant to Section 302 of the Sarbanes-Oxley Act of 2002.</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dtx-ex32_1.htm">
              <w:r>
                <w:rPr>
                  <w:rStyle w:val="InternetLink"/>
                  <w:rFonts w:ascii="Arial" w:hAnsi="Arial"/>
                  <w:color w:val="0000FF"/>
                  <w:sz w:val="20"/>
                  <w:u w:val="single"/>
                </w:rPr>
                <w:t>32.1</w:t>
              </w:r>
            </w:hyperlink>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Certification of Principal Executive Officer Pursuant to 18 U.S.C. Section 1350, as Adopted Pursuant to Section 906 of the Sarbanes-Oxley Act of 2002.</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dtx-ex32_2.htm">
              <w:r>
                <w:rPr>
                  <w:rStyle w:val="InternetLink"/>
                  <w:rFonts w:ascii="Arial" w:hAnsi="Arial"/>
                  <w:color w:val="0000FF"/>
                  <w:sz w:val="20"/>
                  <w:u w:val="single"/>
                </w:rPr>
                <w:t>32.2</w:t>
              </w:r>
            </w:hyperlink>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Certification of Principal Financial Officer Pursuant to 18 U.S.C. Section 1350, as Adopted Pursuant to Section 906 of the Sarbanes-Oxley Act of 2002.</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Filed herewith.</w:t>
      </w:r>
    </w:p>
    <w:p>
      <w:pPr>
        <w:pStyle w:val="TextBody"/>
        <w:bidi w:val="0"/>
        <w:spacing w:before="240" w:after="283"/>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20" w:name="signatures"/>
      <w:bookmarkEnd w:id="20"/>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54" w:type="dxa"/>
        <w:jc w:val="left"/>
        <w:tblInd w:w="0" w:type="dxa"/>
        <w:tblLayout w:type="fixed"/>
        <w:tblCellMar>
          <w:top w:w="28" w:type="dxa"/>
          <w:left w:w="28" w:type="dxa"/>
          <w:bottom w:w="28" w:type="dxa"/>
          <w:right w:w="28" w:type="dxa"/>
        </w:tblCellMar>
      </w:tblPr>
      <w:tblGrid>
        <w:gridCol w:w="1966"/>
        <w:gridCol w:w="146"/>
        <w:gridCol w:w="406"/>
        <w:gridCol w:w="343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Odyssey Therapeutics, Inc.</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Gary D. Glick</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Gary D. Glick, Ph.D.</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President and Chief Executive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Jason Haas</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Jason Haas</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Chief Financial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1" w:name="odtx-ex31_1.htm"/>
      <w:bookmarkStart w:id="22" w:name="ksodtxex31_1"/>
      <w:bookmarkEnd w:id="21"/>
      <w:bookmarkEnd w:id="22"/>
      <w:r>
        <w:rPr>
          <w:rFonts w:ascii="Arial" w:hAnsi="Arial"/>
          <w:b/>
          <w:color w:val="000000"/>
          <w:sz w:val="18"/>
        </w:rPr>
        <w:t>Exhibit 31.1</w:t>
      </w:r>
      <w:r>
        <w:rPr>
          <w:rFonts w:ascii="Times New Roman" w:hAnsi="Times New Roman"/>
          <w:color w:val="000000"/>
          <w:sz w:val="20"/>
        </w:rPr>
        <w:t xml:space="preserve"> </w:t>
      </w:r>
      <w:r>
        <w:br w:type="page"/>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Gary D. Glick ,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Odyssey Therapeutics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48" w:type="dxa"/>
        <w:jc w:val="left"/>
        <w:tblInd w:w="0" w:type="dxa"/>
        <w:tblLayout w:type="fixed"/>
        <w:tblCellMar>
          <w:top w:w="28" w:type="dxa"/>
          <w:left w:w="28" w:type="dxa"/>
          <w:bottom w:w="28" w:type="dxa"/>
          <w:right w:w="28" w:type="dxa"/>
        </w:tblCellMar>
      </w:tblPr>
      <w:tblGrid>
        <w:gridCol w:w="1651"/>
        <w:gridCol w:w="361"/>
        <w:gridCol w:w="2836"/>
      </w:tblGrid>
      <w:tr>
        <w:trPr/>
        <w:tc>
          <w:tcPr>
            <w:tcW w:w="16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5, 2026</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By:</w:t>
            </w:r>
          </w:p>
        </w:tc>
        <w:tc>
          <w:tcPr>
            <w:tcW w:w="28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Gary D. Glick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Gary D. Glick, Ph.D.</w:t>
            </w:r>
          </w:p>
        </w:tc>
      </w:tr>
      <w:tr>
        <w:trPr/>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President and Chief Executive Officer</w:t>
            </w:r>
          </w:p>
        </w:tc>
      </w:tr>
      <w:tr>
        <w:trPr/>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odtx-ex31_2.htm"/>
      <w:bookmarkStart w:id="24" w:name="ksodtxex31_2"/>
      <w:bookmarkEnd w:id="23"/>
      <w:bookmarkEnd w:id="24"/>
      <w:r>
        <w:rPr>
          <w:rFonts w:ascii="Arial" w:hAnsi="Arial"/>
          <w:b/>
          <w:color w:val="000000"/>
          <w:sz w:val="18"/>
        </w:rPr>
        <w:t>Exhibit 31.2</w:t>
      </w:r>
      <w:r>
        <w:rPr>
          <w:rFonts w:ascii="Times New Roman" w:hAnsi="Times New Roman"/>
          <w:color w:val="000000"/>
          <w:sz w:val="20"/>
        </w:rPr>
        <w:t xml:space="preserve"> </w:t>
      </w:r>
      <w:r>
        <w:br w:type="page"/>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Jason Haas,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Odyssey Therapeutics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18" w:type="dxa"/>
        <w:jc w:val="left"/>
        <w:tblInd w:w="0" w:type="dxa"/>
        <w:tblLayout w:type="fixed"/>
        <w:tblCellMar>
          <w:top w:w="28" w:type="dxa"/>
          <w:left w:w="28" w:type="dxa"/>
          <w:bottom w:w="28" w:type="dxa"/>
          <w:right w:w="28" w:type="dxa"/>
        </w:tblCellMar>
      </w:tblPr>
      <w:tblGrid>
        <w:gridCol w:w="1846"/>
        <w:gridCol w:w="406"/>
        <w:gridCol w:w="43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43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Haas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Jason Haas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18"/>
        </w:rPr>
      </w:pPr>
      <w:bookmarkStart w:id="25" w:name="odtx-ex32_1.htm"/>
      <w:bookmarkStart w:id="26" w:name="ksodtxex32_1"/>
      <w:bookmarkEnd w:id="25"/>
      <w:bookmarkEnd w:id="26"/>
      <w:r>
        <w:rPr>
          <w:rFonts w:ascii="Arial" w:hAnsi="Arial"/>
          <w:b/>
          <w:color w:val="000000"/>
          <w:sz w:val="18"/>
        </w:rPr>
        <w:t>Exhibit 32.1</w:t>
      </w:r>
      <w:r>
        <w:br w:type="page"/>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Odyssey Therapeutics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5463" w:type="dxa"/>
        <w:jc w:val="left"/>
        <w:tblInd w:w="0" w:type="dxa"/>
        <w:tblLayout w:type="fixed"/>
        <w:tblCellMar>
          <w:top w:w="28" w:type="dxa"/>
          <w:left w:w="28" w:type="dxa"/>
          <w:bottom w:w="28" w:type="dxa"/>
          <w:right w:w="28" w:type="dxa"/>
        </w:tblCellMar>
      </w:tblPr>
      <w:tblGrid>
        <w:gridCol w:w="1846"/>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Gary D. Glick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Gary D. Glick,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18"/>
        </w:rPr>
      </w:pPr>
      <w:bookmarkStart w:id="27" w:name="odtx-ex32_2.htm"/>
      <w:bookmarkStart w:id="28" w:name="ksodtxex32_2"/>
      <w:bookmarkEnd w:id="27"/>
      <w:bookmarkEnd w:id="28"/>
      <w:r>
        <w:rPr>
          <w:rFonts w:ascii="Arial" w:hAnsi="Arial"/>
          <w:b/>
          <w:color w:val="000000"/>
          <w:sz w:val="18"/>
        </w:rPr>
        <w:t>Exhibit 32.2</w:t>
      </w:r>
      <w:r>
        <w:br w:type="page"/>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Odyssey Therapeutics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6618" w:type="dxa"/>
        <w:jc w:val="left"/>
        <w:tblInd w:w="0" w:type="dxa"/>
        <w:tblLayout w:type="fixed"/>
        <w:tblCellMar>
          <w:top w:w="28" w:type="dxa"/>
          <w:left w:w="28" w:type="dxa"/>
          <w:bottom w:w="28" w:type="dxa"/>
          <w:right w:w="28" w:type="dxa"/>
        </w:tblCellMar>
      </w:tblPr>
      <w:tblGrid>
        <w:gridCol w:w="1846"/>
        <w:gridCol w:w="406"/>
        <w:gridCol w:w="43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43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Haas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Jason Haas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2782/000119312526216899/odtx-ex3_1.htm" TargetMode="External"/><Relationship Id="rId3" Type="http://schemas.openxmlformats.org/officeDocument/2006/relationships/hyperlink" Target="https://www.sec.gov/Archives/edgar/data/1882782/000119312526161514/odtx-ex3_4.htm" TargetMode="External"/><Relationship Id="rId4" Type="http://schemas.openxmlformats.org/officeDocument/2006/relationships/hyperlink" Target="https://www.sec.gov/Archives/edgar/data/1882782/000119312526161514/odtx-ex4_1.htm" TargetMode="External"/><Relationship Id="rId5" Type="http://schemas.openxmlformats.org/officeDocument/2006/relationships/hyperlink" Target="https://www.sec.gov/Archives/edgar/data/1882782/000119312526161514/odtx-ex4_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70654</Words>
  <Characters>395094</Characters>
  <CharactersWithSpaces>466626</CharactersWithSpaces>
  <Paragraphs>7243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